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F5" w:rsidRPr="00863431" w:rsidRDefault="001B77B9" w:rsidP="00DB4864">
      <w:pPr>
        <w:jc w:val="center"/>
        <w:rPr>
          <w:color w:val="auto"/>
        </w:rPr>
      </w:pPr>
      <w:r w:rsidRPr="00863431">
        <w:rPr>
          <w:rFonts w:hint="eastAsia"/>
          <w:color w:val="auto"/>
        </w:rPr>
        <w:t>Khusnutdinovaユニットにおける一酸化炭素ガス使用についての法令検討</w:t>
      </w:r>
    </w:p>
    <w:p w:rsidR="001B77B9" w:rsidRPr="00863431" w:rsidRDefault="001B77B9">
      <w:pPr>
        <w:rPr>
          <w:color w:val="auto"/>
        </w:rPr>
      </w:pPr>
      <w:bookmarkStart w:id="0" w:name="_GoBack"/>
      <w:bookmarkEnd w:id="0"/>
    </w:p>
    <w:p w:rsidR="001B77B9" w:rsidRPr="00863431" w:rsidRDefault="001B77B9" w:rsidP="001B77B9">
      <w:pPr>
        <w:pStyle w:val="a3"/>
        <w:numPr>
          <w:ilvl w:val="0"/>
          <w:numId w:val="1"/>
        </w:numPr>
        <w:ind w:leftChars="0"/>
        <w:rPr>
          <w:color w:val="auto"/>
        </w:rPr>
      </w:pPr>
      <w:r w:rsidRPr="00863431">
        <w:rPr>
          <w:rFonts w:hint="eastAsia"/>
          <w:color w:val="auto"/>
        </w:rPr>
        <w:t>高圧ガス貯蔵</w:t>
      </w:r>
    </w:p>
    <w:p w:rsidR="001B77B9" w:rsidRPr="00863431" w:rsidRDefault="001B77B9" w:rsidP="001B77B9">
      <w:pPr>
        <w:pStyle w:val="a3"/>
        <w:ind w:leftChars="0" w:left="360"/>
        <w:rPr>
          <w:color w:val="auto"/>
        </w:rPr>
      </w:pPr>
      <w:r w:rsidRPr="00863431">
        <w:rPr>
          <w:rFonts w:hint="eastAsia"/>
          <w:color w:val="auto"/>
        </w:rPr>
        <w:t>一酸化炭素ボンベは、9.4Lサイズ、9.81MPa充填であり、</w:t>
      </w:r>
      <w:r w:rsidR="00DB4864" w:rsidRPr="00863431">
        <w:rPr>
          <w:rFonts w:hint="eastAsia"/>
          <w:color w:val="auto"/>
        </w:rPr>
        <w:t xml:space="preserve">Lab1, 2, </w:t>
      </w:r>
      <w:r w:rsidRPr="00863431">
        <w:rPr>
          <w:rFonts w:hint="eastAsia"/>
          <w:color w:val="auto"/>
        </w:rPr>
        <w:t>3に保管するには高圧ガス貯蔵の届出が必要となる。</w:t>
      </w:r>
    </w:p>
    <w:p w:rsidR="001B77B9" w:rsidRPr="00863431" w:rsidRDefault="007F6308" w:rsidP="001B77B9">
      <w:pPr>
        <w:pStyle w:val="a3"/>
        <w:ind w:leftChars="0" w:left="360"/>
        <w:rPr>
          <w:color w:val="auto"/>
        </w:rPr>
      </w:pPr>
      <w:r w:rsidRPr="00863431">
        <w:rPr>
          <w:rFonts w:hint="eastAsia"/>
          <w:color w:val="auto"/>
        </w:rPr>
        <w:t>ただし、合算で300m3未満の貯蔵であれば、届出は不要となるので、Labから30m以上離れた場所、例えば製土工場に貯蔵所を設ければ、届出は不要となる。届出は不要だが、貯蔵の方法の技術上の基準に従わなければならない。</w:t>
      </w:r>
    </w:p>
    <w:p w:rsidR="002E3C4C" w:rsidRPr="00863431" w:rsidRDefault="002E3C4C" w:rsidP="001B77B9">
      <w:pPr>
        <w:pStyle w:val="a3"/>
        <w:ind w:leftChars="0" w:left="360"/>
        <w:rPr>
          <w:color w:val="auto"/>
        </w:rPr>
      </w:pPr>
    </w:p>
    <w:p w:rsidR="002E3C4C" w:rsidRPr="00863431" w:rsidRDefault="002E3C4C" w:rsidP="001B77B9">
      <w:pPr>
        <w:pStyle w:val="a3"/>
        <w:ind w:leftChars="0" w:left="360"/>
        <w:rPr>
          <w:color w:val="auto"/>
        </w:rPr>
      </w:pPr>
      <w:r w:rsidRPr="00863431">
        <w:rPr>
          <w:rFonts w:hint="eastAsia"/>
          <w:color w:val="auto"/>
        </w:rPr>
        <w:t>一般則18条第2号</w:t>
      </w:r>
    </w:p>
    <w:p w:rsidR="002E3C4C" w:rsidRPr="00863431" w:rsidRDefault="002E3C4C" w:rsidP="002E3C4C">
      <w:pPr>
        <w:pStyle w:val="a3"/>
        <w:numPr>
          <w:ilvl w:val="0"/>
          <w:numId w:val="2"/>
        </w:numPr>
        <w:ind w:leftChars="0"/>
        <w:rPr>
          <w:color w:val="auto"/>
        </w:rPr>
      </w:pPr>
      <w:r w:rsidRPr="00863431">
        <w:rPr>
          <w:rFonts w:hint="eastAsia"/>
          <w:color w:val="auto"/>
        </w:rPr>
        <w:t>(通風）通風のよい場所で行うこと。</w:t>
      </w:r>
    </w:p>
    <w:p w:rsidR="002E3C4C" w:rsidRPr="00863431" w:rsidRDefault="002E3C4C" w:rsidP="002E3C4C">
      <w:pPr>
        <w:pStyle w:val="a3"/>
        <w:numPr>
          <w:ilvl w:val="0"/>
          <w:numId w:val="2"/>
        </w:numPr>
        <w:ind w:leftChars="0"/>
        <w:rPr>
          <w:color w:val="auto"/>
        </w:rPr>
      </w:pPr>
      <w:r w:rsidRPr="00863431">
        <w:rPr>
          <w:rFonts w:hint="eastAsia"/>
          <w:color w:val="auto"/>
        </w:rPr>
        <w:t>(容器置場の基準)</w:t>
      </w:r>
    </w:p>
    <w:p w:rsidR="002E3C4C" w:rsidRPr="00863431" w:rsidRDefault="002E3C4C" w:rsidP="002E3C4C">
      <w:pPr>
        <w:pStyle w:val="a3"/>
        <w:numPr>
          <w:ilvl w:val="0"/>
          <w:numId w:val="3"/>
        </w:numPr>
        <w:ind w:leftChars="0"/>
        <w:rPr>
          <w:color w:val="auto"/>
        </w:rPr>
      </w:pPr>
      <w:r w:rsidRPr="00863431">
        <w:rPr>
          <w:rFonts w:hint="eastAsia"/>
          <w:color w:val="auto"/>
        </w:rPr>
        <w:t>充填容器等は、充填容器と残ガス容器を区分して容器置場に置くこと。</w:t>
      </w:r>
    </w:p>
    <w:p w:rsidR="002E3C4C" w:rsidRPr="00863431" w:rsidRDefault="002E3C4C" w:rsidP="002E3C4C">
      <w:pPr>
        <w:pStyle w:val="a3"/>
        <w:numPr>
          <w:ilvl w:val="0"/>
          <w:numId w:val="3"/>
        </w:numPr>
        <w:ind w:leftChars="0"/>
        <w:rPr>
          <w:color w:val="auto"/>
        </w:rPr>
      </w:pPr>
      <w:r w:rsidRPr="00863431">
        <w:rPr>
          <w:rFonts w:hint="eastAsia"/>
          <w:color w:val="auto"/>
        </w:rPr>
        <w:t>可燃性ガス、毒性ガス、酸素ガス容器を区分して容器置場に置くこと。</w:t>
      </w:r>
    </w:p>
    <w:p w:rsidR="002E3C4C" w:rsidRPr="00863431" w:rsidRDefault="002E3C4C" w:rsidP="002E3C4C">
      <w:pPr>
        <w:pStyle w:val="a3"/>
        <w:numPr>
          <w:ilvl w:val="0"/>
          <w:numId w:val="3"/>
        </w:numPr>
        <w:ind w:leftChars="0"/>
        <w:rPr>
          <w:color w:val="auto"/>
        </w:rPr>
      </w:pPr>
      <w:r w:rsidRPr="00863431">
        <w:rPr>
          <w:rFonts w:hint="eastAsia"/>
          <w:color w:val="auto"/>
        </w:rPr>
        <w:t>容器置場には、計量器等作業に必要なもの以外の物を置かないこと。</w:t>
      </w:r>
    </w:p>
    <w:p w:rsidR="002E3C4C" w:rsidRPr="00863431" w:rsidRDefault="002E3C4C" w:rsidP="002E3C4C">
      <w:pPr>
        <w:pStyle w:val="a3"/>
        <w:numPr>
          <w:ilvl w:val="0"/>
          <w:numId w:val="3"/>
        </w:numPr>
        <w:ind w:leftChars="0"/>
        <w:rPr>
          <w:color w:val="auto"/>
        </w:rPr>
      </w:pPr>
      <w:r w:rsidRPr="00863431">
        <w:rPr>
          <w:rFonts w:hint="eastAsia"/>
          <w:color w:val="auto"/>
        </w:rPr>
        <w:t>容器置場の周囲2m以内に置いては、下記の使用を禁じ、かつ、又は引火性又は発火性の物を置かないこと。ただし、有効に遮る措置を講じた場合は除く。</w:t>
      </w:r>
    </w:p>
    <w:p w:rsidR="002E3C4C" w:rsidRPr="00863431" w:rsidRDefault="002E3C4C" w:rsidP="002E3C4C">
      <w:pPr>
        <w:pStyle w:val="a3"/>
        <w:numPr>
          <w:ilvl w:val="0"/>
          <w:numId w:val="3"/>
        </w:numPr>
        <w:ind w:leftChars="0"/>
        <w:rPr>
          <w:color w:val="auto"/>
        </w:rPr>
      </w:pPr>
      <w:r w:rsidRPr="00863431">
        <w:rPr>
          <w:rFonts w:hint="eastAsia"/>
          <w:color w:val="auto"/>
        </w:rPr>
        <w:t>充填容器等は、常に40℃以下に保つこと。低温容器、超低温容器の場合は容器内のガスの常用の温度のうち最高のもの以下に保つこと。</w:t>
      </w:r>
    </w:p>
    <w:p w:rsidR="002E3C4C" w:rsidRPr="00863431" w:rsidRDefault="002E3C4C" w:rsidP="002E3C4C">
      <w:pPr>
        <w:pStyle w:val="a3"/>
        <w:numPr>
          <w:ilvl w:val="0"/>
          <w:numId w:val="3"/>
        </w:numPr>
        <w:ind w:leftChars="0"/>
        <w:rPr>
          <w:color w:val="auto"/>
        </w:rPr>
      </w:pPr>
      <w:r w:rsidRPr="00863431">
        <w:rPr>
          <w:rFonts w:hint="eastAsia"/>
          <w:color w:val="auto"/>
        </w:rPr>
        <w:t>充填容器等には、転落、転倒による衝撃及びバルブの損傷を防止する措置を講じ、かつ粗暴な取り扱いをしないこと。</w:t>
      </w:r>
    </w:p>
    <w:p w:rsidR="002E3C4C" w:rsidRPr="00863431" w:rsidRDefault="002E3C4C" w:rsidP="002E3C4C">
      <w:pPr>
        <w:pStyle w:val="a3"/>
        <w:numPr>
          <w:ilvl w:val="0"/>
          <w:numId w:val="3"/>
        </w:numPr>
        <w:ind w:leftChars="0"/>
        <w:rPr>
          <w:color w:val="auto"/>
        </w:rPr>
      </w:pPr>
      <w:r w:rsidRPr="00863431">
        <w:rPr>
          <w:rFonts w:hint="eastAsia"/>
          <w:color w:val="auto"/>
        </w:rPr>
        <w:t>可燃性ガスの容器置場には、携帯電灯以外の燈火を携えないこと。</w:t>
      </w:r>
    </w:p>
    <w:p w:rsidR="002E3C4C" w:rsidRPr="00863431" w:rsidRDefault="002E3C4C" w:rsidP="002E3C4C">
      <w:pPr>
        <w:pStyle w:val="a3"/>
        <w:numPr>
          <w:ilvl w:val="0"/>
          <w:numId w:val="2"/>
        </w:numPr>
        <w:ind w:leftChars="0"/>
        <w:rPr>
          <w:color w:val="auto"/>
        </w:rPr>
      </w:pPr>
      <w:r w:rsidRPr="00863431">
        <w:rPr>
          <w:rFonts w:hint="eastAsia"/>
          <w:color w:val="auto"/>
        </w:rPr>
        <w:t>(シアン化水素関係)</w:t>
      </w:r>
    </w:p>
    <w:p w:rsidR="002E3C4C" w:rsidRPr="00863431" w:rsidRDefault="002E3C4C" w:rsidP="002E3C4C">
      <w:pPr>
        <w:pStyle w:val="a3"/>
        <w:numPr>
          <w:ilvl w:val="0"/>
          <w:numId w:val="2"/>
        </w:numPr>
        <w:ind w:leftChars="0"/>
        <w:rPr>
          <w:color w:val="auto"/>
        </w:rPr>
      </w:pPr>
      <w:r w:rsidRPr="00863431">
        <w:rPr>
          <w:rFonts w:hint="eastAsia"/>
          <w:color w:val="auto"/>
        </w:rPr>
        <w:t>(シアン化水素関係)</w:t>
      </w:r>
    </w:p>
    <w:p w:rsidR="002E3C4C" w:rsidRPr="00863431" w:rsidRDefault="002E3C4C" w:rsidP="002E3C4C">
      <w:pPr>
        <w:pStyle w:val="a3"/>
        <w:numPr>
          <w:ilvl w:val="0"/>
          <w:numId w:val="2"/>
        </w:numPr>
        <w:ind w:leftChars="0"/>
        <w:rPr>
          <w:color w:val="auto"/>
        </w:rPr>
      </w:pPr>
      <w:r w:rsidRPr="00863431">
        <w:rPr>
          <w:rFonts w:hint="eastAsia"/>
          <w:color w:val="auto"/>
        </w:rPr>
        <w:t>(車両等での貯蔵禁止)</w:t>
      </w:r>
    </w:p>
    <w:p w:rsidR="002E3C4C" w:rsidRPr="00863431" w:rsidRDefault="002E3C4C" w:rsidP="002E3C4C">
      <w:pPr>
        <w:pStyle w:val="a3"/>
        <w:numPr>
          <w:ilvl w:val="0"/>
          <w:numId w:val="2"/>
        </w:numPr>
        <w:ind w:leftChars="0"/>
        <w:rPr>
          <w:color w:val="auto"/>
        </w:rPr>
      </w:pPr>
      <w:r w:rsidRPr="00863431">
        <w:rPr>
          <w:rFonts w:hint="eastAsia"/>
          <w:color w:val="auto"/>
        </w:rPr>
        <w:t>(一般複合容器の規制)</w:t>
      </w:r>
    </w:p>
    <w:p w:rsidR="002E3C4C" w:rsidRPr="00863431" w:rsidRDefault="002E3C4C" w:rsidP="001B77B9">
      <w:pPr>
        <w:pStyle w:val="a3"/>
        <w:ind w:leftChars="0" w:left="360"/>
        <w:rPr>
          <w:color w:val="auto"/>
        </w:rPr>
      </w:pPr>
    </w:p>
    <w:p w:rsidR="00817F65" w:rsidRPr="00863431" w:rsidRDefault="00817F65" w:rsidP="001B77B9">
      <w:pPr>
        <w:pStyle w:val="a3"/>
        <w:ind w:leftChars="0" w:left="360"/>
        <w:rPr>
          <w:color w:val="auto"/>
        </w:rPr>
      </w:pPr>
      <w:r w:rsidRPr="00863431">
        <w:rPr>
          <w:rFonts w:hint="eastAsia"/>
          <w:color w:val="auto"/>
        </w:rPr>
        <w:t>貯蔵所の技術上の基準</w:t>
      </w:r>
    </w:p>
    <w:p w:rsidR="00817F65" w:rsidRPr="00863431" w:rsidRDefault="00817F65" w:rsidP="001B77B9">
      <w:pPr>
        <w:pStyle w:val="a3"/>
        <w:ind w:leftChars="0" w:left="360"/>
        <w:rPr>
          <w:color w:val="auto"/>
        </w:rPr>
      </w:pPr>
      <w:r w:rsidRPr="00863431">
        <w:rPr>
          <w:rFonts w:hint="eastAsia"/>
          <w:color w:val="auto"/>
        </w:rPr>
        <w:t>一般則第6条第1項42号</w:t>
      </w:r>
    </w:p>
    <w:p w:rsidR="00817F65" w:rsidRPr="00863431" w:rsidRDefault="00817F65" w:rsidP="00817F65">
      <w:pPr>
        <w:pStyle w:val="a3"/>
        <w:numPr>
          <w:ilvl w:val="0"/>
          <w:numId w:val="4"/>
        </w:numPr>
        <w:ind w:leftChars="0"/>
        <w:rPr>
          <w:color w:val="auto"/>
        </w:rPr>
      </w:pPr>
      <w:r w:rsidRPr="00863431">
        <w:rPr>
          <w:rFonts w:hint="eastAsia"/>
          <w:color w:val="auto"/>
        </w:rPr>
        <w:t>(境界線、警戒標)</w:t>
      </w:r>
    </w:p>
    <w:p w:rsidR="00817F65" w:rsidRPr="00863431" w:rsidRDefault="00817F65" w:rsidP="00817F65">
      <w:pPr>
        <w:pStyle w:val="a3"/>
        <w:numPr>
          <w:ilvl w:val="0"/>
          <w:numId w:val="4"/>
        </w:numPr>
        <w:ind w:leftChars="0"/>
        <w:rPr>
          <w:color w:val="auto"/>
        </w:rPr>
      </w:pPr>
      <w:r w:rsidRPr="00863431">
        <w:rPr>
          <w:rFonts w:hint="eastAsia"/>
          <w:color w:val="auto"/>
        </w:rPr>
        <w:t>(階数制限)</w:t>
      </w:r>
    </w:p>
    <w:p w:rsidR="00817F65" w:rsidRPr="00863431" w:rsidRDefault="00817F65" w:rsidP="00817F65">
      <w:pPr>
        <w:pStyle w:val="a3"/>
        <w:numPr>
          <w:ilvl w:val="0"/>
          <w:numId w:val="4"/>
        </w:numPr>
        <w:ind w:leftChars="0"/>
        <w:rPr>
          <w:color w:val="auto"/>
        </w:rPr>
      </w:pPr>
      <w:r w:rsidRPr="00863431">
        <w:rPr>
          <w:rFonts w:hint="eastAsia"/>
          <w:color w:val="auto"/>
        </w:rPr>
        <w:t>(置場距離)</w:t>
      </w:r>
    </w:p>
    <w:p w:rsidR="00817F65" w:rsidRPr="00863431" w:rsidRDefault="00817F65" w:rsidP="00817F65">
      <w:pPr>
        <w:pStyle w:val="a3"/>
        <w:numPr>
          <w:ilvl w:val="0"/>
          <w:numId w:val="4"/>
        </w:numPr>
        <w:ind w:leftChars="0"/>
        <w:rPr>
          <w:color w:val="auto"/>
        </w:rPr>
      </w:pPr>
      <w:r w:rsidRPr="00863431">
        <w:rPr>
          <w:rFonts w:hint="eastAsia"/>
          <w:color w:val="auto"/>
        </w:rPr>
        <w:t>(置場距離の短縮)</w:t>
      </w:r>
    </w:p>
    <w:p w:rsidR="00817F65" w:rsidRPr="00863431" w:rsidRDefault="00817F65" w:rsidP="00817F65">
      <w:pPr>
        <w:pStyle w:val="a3"/>
        <w:numPr>
          <w:ilvl w:val="0"/>
          <w:numId w:val="4"/>
        </w:numPr>
        <w:ind w:leftChars="0"/>
        <w:rPr>
          <w:color w:val="auto"/>
        </w:rPr>
      </w:pPr>
      <w:r w:rsidRPr="00863431">
        <w:rPr>
          <w:rFonts w:hint="eastAsia"/>
          <w:color w:val="auto"/>
        </w:rPr>
        <w:t>(軽量な屋根)</w:t>
      </w:r>
    </w:p>
    <w:p w:rsidR="00817F65" w:rsidRPr="00863431" w:rsidRDefault="00817F65" w:rsidP="00817F65">
      <w:pPr>
        <w:pStyle w:val="a3"/>
        <w:numPr>
          <w:ilvl w:val="0"/>
          <w:numId w:val="4"/>
        </w:numPr>
        <w:ind w:leftChars="0"/>
        <w:rPr>
          <w:color w:val="auto"/>
        </w:rPr>
      </w:pPr>
      <w:r w:rsidRPr="00863431">
        <w:rPr>
          <w:rFonts w:hint="eastAsia"/>
          <w:color w:val="auto"/>
        </w:rPr>
        <w:t>(滞留しない構造)</w:t>
      </w:r>
    </w:p>
    <w:p w:rsidR="00817F65" w:rsidRPr="00863431" w:rsidRDefault="00817F65" w:rsidP="00817F65">
      <w:pPr>
        <w:pStyle w:val="a3"/>
        <w:numPr>
          <w:ilvl w:val="0"/>
          <w:numId w:val="4"/>
        </w:numPr>
        <w:ind w:leftChars="0"/>
        <w:rPr>
          <w:color w:val="auto"/>
        </w:rPr>
      </w:pPr>
      <w:r w:rsidRPr="00863431">
        <w:rPr>
          <w:rFonts w:hint="eastAsia"/>
          <w:color w:val="auto"/>
        </w:rPr>
        <w:t>(自然発火時の安全)</w:t>
      </w:r>
    </w:p>
    <w:p w:rsidR="00817F65" w:rsidRPr="00863431" w:rsidRDefault="00817F65" w:rsidP="00817F65">
      <w:pPr>
        <w:pStyle w:val="a3"/>
        <w:numPr>
          <w:ilvl w:val="0"/>
          <w:numId w:val="4"/>
        </w:numPr>
        <w:ind w:leftChars="0"/>
        <w:rPr>
          <w:color w:val="auto"/>
        </w:rPr>
      </w:pPr>
      <w:r w:rsidRPr="00863431">
        <w:rPr>
          <w:rFonts w:hint="eastAsia"/>
          <w:color w:val="auto"/>
        </w:rPr>
        <w:lastRenderedPageBreak/>
        <w:t>(除害の措置)</w:t>
      </w:r>
    </w:p>
    <w:p w:rsidR="00817F65" w:rsidRPr="00863431" w:rsidRDefault="00817F65" w:rsidP="00817F65">
      <w:pPr>
        <w:pStyle w:val="a3"/>
        <w:numPr>
          <w:ilvl w:val="0"/>
          <w:numId w:val="4"/>
        </w:numPr>
        <w:ind w:leftChars="0"/>
        <w:rPr>
          <w:color w:val="auto"/>
        </w:rPr>
      </w:pPr>
      <w:r w:rsidRPr="00863431">
        <w:rPr>
          <w:rFonts w:hint="eastAsia"/>
          <w:color w:val="auto"/>
        </w:rPr>
        <w:t>(2階建容器置場)</w:t>
      </w:r>
    </w:p>
    <w:p w:rsidR="00817F65" w:rsidRPr="00863431" w:rsidRDefault="00817F65" w:rsidP="00817F65">
      <w:pPr>
        <w:pStyle w:val="a3"/>
        <w:numPr>
          <w:ilvl w:val="0"/>
          <w:numId w:val="4"/>
        </w:numPr>
        <w:ind w:leftChars="0"/>
        <w:rPr>
          <w:color w:val="auto"/>
        </w:rPr>
      </w:pPr>
      <w:r w:rsidRPr="00863431">
        <w:rPr>
          <w:rFonts w:hint="eastAsia"/>
          <w:color w:val="auto"/>
        </w:rPr>
        <w:t>(消火器の設置)</w:t>
      </w:r>
    </w:p>
    <w:p w:rsidR="00817F65" w:rsidRPr="00863431" w:rsidRDefault="00817F65" w:rsidP="001B77B9">
      <w:pPr>
        <w:pStyle w:val="a3"/>
        <w:ind w:leftChars="0" w:left="360"/>
        <w:rPr>
          <w:color w:val="auto"/>
        </w:rPr>
      </w:pPr>
    </w:p>
    <w:p w:rsidR="001B77B9" w:rsidRPr="00863431" w:rsidRDefault="001B77B9" w:rsidP="001B77B9">
      <w:pPr>
        <w:pStyle w:val="a3"/>
        <w:numPr>
          <w:ilvl w:val="0"/>
          <w:numId w:val="1"/>
        </w:numPr>
        <w:ind w:leftChars="0"/>
        <w:rPr>
          <w:color w:val="auto"/>
        </w:rPr>
      </w:pPr>
      <w:r w:rsidRPr="00863431">
        <w:rPr>
          <w:rFonts w:hint="eastAsia"/>
          <w:color w:val="auto"/>
        </w:rPr>
        <w:t>高圧ガス消費</w:t>
      </w:r>
    </w:p>
    <w:p w:rsidR="008B2A1B" w:rsidRPr="00863431" w:rsidRDefault="008B2A1B" w:rsidP="008B2A1B">
      <w:pPr>
        <w:pStyle w:val="a3"/>
        <w:ind w:leftChars="0" w:left="360"/>
        <w:rPr>
          <w:color w:val="auto"/>
        </w:rPr>
      </w:pPr>
      <w:r w:rsidRPr="00863431">
        <w:rPr>
          <w:rFonts w:hint="eastAsia"/>
          <w:color w:val="auto"/>
        </w:rPr>
        <w:t>高圧ガスのその他の消費について</w:t>
      </w:r>
      <w:r w:rsidR="00DB4864" w:rsidRPr="00863431">
        <w:rPr>
          <w:rFonts w:hint="eastAsia"/>
          <w:color w:val="auto"/>
        </w:rPr>
        <w:t>、</w:t>
      </w:r>
      <w:r w:rsidRPr="00863431">
        <w:rPr>
          <w:rFonts w:hint="eastAsia"/>
          <w:color w:val="auto"/>
        </w:rPr>
        <w:t>届出等は不要だが、基準に従う必要がある。</w:t>
      </w:r>
    </w:p>
    <w:p w:rsidR="008B2A1B" w:rsidRPr="00863431" w:rsidRDefault="008B2A1B" w:rsidP="008B2A1B">
      <w:pPr>
        <w:pStyle w:val="a3"/>
        <w:ind w:leftChars="0" w:left="360"/>
        <w:rPr>
          <w:color w:val="auto"/>
        </w:rPr>
      </w:pPr>
    </w:p>
    <w:p w:rsidR="008B2A1B" w:rsidRPr="00863431" w:rsidRDefault="008B2A1B" w:rsidP="008B2A1B">
      <w:pPr>
        <w:pStyle w:val="a3"/>
        <w:ind w:leftChars="0" w:left="360"/>
        <w:rPr>
          <w:color w:val="auto"/>
        </w:rPr>
      </w:pPr>
      <w:r w:rsidRPr="00863431">
        <w:rPr>
          <w:rFonts w:hint="eastAsia"/>
          <w:color w:val="auto"/>
        </w:rPr>
        <w:t>一般則60条</w:t>
      </w:r>
    </w:p>
    <w:p w:rsidR="00863431" w:rsidRPr="00863431" w:rsidRDefault="008B2A1B" w:rsidP="008B2A1B">
      <w:pPr>
        <w:pStyle w:val="a3"/>
        <w:numPr>
          <w:ilvl w:val="0"/>
          <w:numId w:val="5"/>
        </w:numPr>
        <w:ind w:leftChars="0"/>
        <w:rPr>
          <w:rFonts w:hint="eastAsia"/>
          <w:b/>
          <w:color w:val="auto"/>
        </w:rPr>
      </w:pPr>
      <w:r w:rsidRPr="00863431">
        <w:rPr>
          <w:rFonts w:hint="eastAsia"/>
          <w:b/>
          <w:color w:val="auto"/>
        </w:rPr>
        <w:t>バルブの開閉</w:t>
      </w:r>
    </w:p>
    <w:p w:rsidR="008B2A1B" w:rsidRPr="00863431" w:rsidRDefault="008B2A1B" w:rsidP="00863431">
      <w:pPr>
        <w:pStyle w:val="a3"/>
        <w:ind w:leftChars="0" w:left="720"/>
        <w:rPr>
          <w:color w:val="auto"/>
        </w:rPr>
      </w:pPr>
      <w:r w:rsidRPr="00863431">
        <w:rPr>
          <w:rFonts w:hint="eastAsia"/>
          <w:color w:val="auto"/>
        </w:rPr>
        <w:t xml:space="preserve">　充填容器のバルブは静かに開閉すること。</w:t>
      </w:r>
    </w:p>
    <w:p w:rsidR="00863431" w:rsidRPr="00863431" w:rsidRDefault="008B2A1B" w:rsidP="008B2A1B">
      <w:pPr>
        <w:pStyle w:val="a3"/>
        <w:numPr>
          <w:ilvl w:val="0"/>
          <w:numId w:val="5"/>
        </w:numPr>
        <w:ind w:leftChars="0"/>
        <w:rPr>
          <w:rFonts w:hint="eastAsia"/>
          <w:b/>
          <w:color w:val="auto"/>
        </w:rPr>
      </w:pPr>
      <w:r w:rsidRPr="00863431">
        <w:rPr>
          <w:rFonts w:hint="eastAsia"/>
          <w:b/>
          <w:color w:val="auto"/>
        </w:rPr>
        <w:t>充填容器等の転落・転倒防止</w:t>
      </w:r>
    </w:p>
    <w:p w:rsidR="008B2A1B" w:rsidRPr="00863431" w:rsidRDefault="008B2A1B" w:rsidP="00863431">
      <w:pPr>
        <w:pStyle w:val="a3"/>
        <w:ind w:leftChars="0" w:left="720"/>
        <w:rPr>
          <w:color w:val="auto"/>
        </w:rPr>
      </w:pPr>
      <w:r w:rsidRPr="00863431">
        <w:rPr>
          <w:rFonts w:hint="eastAsia"/>
          <w:color w:val="auto"/>
        </w:rPr>
        <w:t xml:space="preserve">　充填容器等は転落、転倒による衝撃又はバルブの損傷を受けないよう粗暴な取り扱いをしないこと。</w:t>
      </w:r>
    </w:p>
    <w:p w:rsidR="008B2A1B" w:rsidRPr="00863431" w:rsidRDefault="008B2A1B" w:rsidP="008B2A1B">
      <w:pPr>
        <w:pStyle w:val="a3"/>
        <w:numPr>
          <w:ilvl w:val="0"/>
          <w:numId w:val="5"/>
        </w:numPr>
        <w:ind w:leftChars="0"/>
        <w:rPr>
          <w:color w:val="auto"/>
        </w:rPr>
      </w:pPr>
      <w:r w:rsidRPr="00863431">
        <w:rPr>
          <w:rFonts w:hint="eastAsia"/>
          <w:color w:val="auto"/>
        </w:rPr>
        <w:t>充填容器等の加熱方法</w:t>
      </w:r>
    </w:p>
    <w:p w:rsidR="008B2A1B" w:rsidRPr="00863431" w:rsidRDefault="008B2A1B" w:rsidP="008B2A1B">
      <w:pPr>
        <w:pStyle w:val="a3"/>
        <w:numPr>
          <w:ilvl w:val="0"/>
          <w:numId w:val="5"/>
        </w:numPr>
        <w:ind w:leftChars="0"/>
        <w:rPr>
          <w:rFonts w:hint="eastAsia"/>
          <w:b/>
          <w:color w:val="auto"/>
        </w:rPr>
      </w:pPr>
      <w:r w:rsidRPr="00863431">
        <w:rPr>
          <w:rFonts w:hint="eastAsia"/>
          <w:b/>
          <w:color w:val="auto"/>
        </w:rPr>
        <w:t>腐食防止措置</w:t>
      </w:r>
    </w:p>
    <w:p w:rsidR="00863431" w:rsidRPr="00863431" w:rsidRDefault="00863431" w:rsidP="00863431">
      <w:pPr>
        <w:pStyle w:val="a3"/>
        <w:ind w:leftChars="0" w:left="720"/>
        <w:rPr>
          <w:color w:val="auto"/>
        </w:rPr>
      </w:pPr>
      <w:r w:rsidRPr="00863431">
        <w:rPr>
          <w:rFonts w:hint="eastAsia"/>
          <w:color w:val="auto"/>
        </w:rPr>
        <w:t xml:space="preserve">　充填容器等には湿気、水滴等による腐食を防止する措置を講じること。</w:t>
      </w:r>
    </w:p>
    <w:p w:rsidR="00863431" w:rsidRPr="00863431" w:rsidRDefault="008B2A1B" w:rsidP="008B2A1B">
      <w:pPr>
        <w:pStyle w:val="a3"/>
        <w:numPr>
          <w:ilvl w:val="0"/>
          <w:numId w:val="5"/>
        </w:numPr>
        <w:ind w:leftChars="0"/>
        <w:rPr>
          <w:rFonts w:hint="eastAsia"/>
          <w:color w:val="auto"/>
        </w:rPr>
      </w:pPr>
      <w:r w:rsidRPr="00863431">
        <w:rPr>
          <w:rFonts w:hint="eastAsia"/>
          <w:color w:val="auto"/>
        </w:rPr>
        <w:t>バルブ操作の適切な措置</w:t>
      </w:r>
    </w:p>
    <w:p w:rsidR="008B2A1B" w:rsidRPr="00863431" w:rsidRDefault="008B2A1B" w:rsidP="00863431">
      <w:pPr>
        <w:pStyle w:val="a3"/>
        <w:ind w:leftChars="0" w:left="720"/>
        <w:rPr>
          <w:color w:val="auto"/>
        </w:rPr>
      </w:pPr>
      <w:r w:rsidRPr="00863431">
        <w:rPr>
          <w:rFonts w:hint="eastAsia"/>
          <w:color w:val="auto"/>
        </w:rPr>
        <w:t xml:space="preserve">　消費設備に設けたバルブ、コックには適切に操作することができる措置を講ずること。</w:t>
      </w:r>
    </w:p>
    <w:p w:rsidR="00863431" w:rsidRPr="00863431" w:rsidRDefault="008B2A1B" w:rsidP="008B2A1B">
      <w:pPr>
        <w:pStyle w:val="a3"/>
        <w:numPr>
          <w:ilvl w:val="0"/>
          <w:numId w:val="5"/>
        </w:numPr>
        <w:ind w:leftChars="0"/>
        <w:rPr>
          <w:rFonts w:hint="eastAsia"/>
          <w:color w:val="auto"/>
        </w:rPr>
      </w:pPr>
      <w:r w:rsidRPr="00863431">
        <w:rPr>
          <w:rFonts w:hint="eastAsia"/>
          <w:color w:val="auto"/>
        </w:rPr>
        <w:t>バルブに過大な力を加えない措置</w:t>
      </w:r>
    </w:p>
    <w:p w:rsidR="008B2A1B" w:rsidRPr="00863431" w:rsidRDefault="008B2A1B" w:rsidP="00863431">
      <w:pPr>
        <w:pStyle w:val="a3"/>
        <w:ind w:leftChars="0" w:left="720"/>
        <w:rPr>
          <w:color w:val="auto"/>
        </w:rPr>
      </w:pPr>
      <w:r w:rsidRPr="00863431">
        <w:rPr>
          <w:rFonts w:hint="eastAsia"/>
          <w:color w:val="auto"/>
        </w:rPr>
        <w:t xml:space="preserve">　消費設備に設けたバルブを操作する場合にバルブの材質、構造及び状態を勘案して、過大な力を加えないよう必要な措置を講ずること。</w:t>
      </w:r>
    </w:p>
    <w:p w:rsidR="00863431" w:rsidRPr="00863431" w:rsidRDefault="00863431" w:rsidP="008B2A1B">
      <w:pPr>
        <w:pStyle w:val="a3"/>
        <w:numPr>
          <w:ilvl w:val="0"/>
          <w:numId w:val="5"/>
        </w:numPr>
        <w:ind w:leftChars="0"/>
        <w:rPr>
          <w:rFonts w:hint="eastAsia"/>
          <w:b/>
          <w:color w:val="auto"/>
        </w:rPr>
      </w:pPr>
      <w:r w:rsidRPr="00863431">
        <w:rPr>
          <w:rFonts w:hint="eastAsia"/>
          <w:b/>
          <w:color w:val="auto"/>
        </w:rPr>
        <w:t>通風</w:t>
      </w:r>
    </w:p>
    <w:p w:rsidR="008B2A1B" w:rsidRPr="00863431" w:rsidRDefault="008B2A1B" w:rsidP="00863431">
      <w:pPr>
        <w:pStyle w:val="a3"/>
        <w:ind w:leftChars="0" w:left="720" w:firstLineChars="100" w:firstLine="210"/>
        <w:rPr>
          <w:color w:val="auto"/>
        </w:rPr>
      </w:pPr>
      <w:r w:rsidRPr="00863431">
        <w:rPr>
          <w:rFonts w:hint="eastAsia"/>
          <w:color w:val="auto"/>
        </w:rPr>
        <w:t>可燃ガス及び毒性ガスの消費は通風のよい場所で行い、かつ、容器を40℃以下に保つこと。</w:t>
      </w:r>
    </w:p>
    <w:p w:rsidR="008B2A1B" w:rsidRPr="00863431" w:rsidRDefault="008B2A1B" w:rsidP="008B2A1B">
      <w:pPr>
        <w:pStyle w:val="a3"/>
        <w:numPr>
          <w:ilvl w:val="0"/>
          <w:numId w:val="5"/>
        </w:numPr>
        <w:ind w:leftChars="0"/>
        <w:rPr>
          <w:color w:val="auto"/>
        </w:rPr>
      </w:pPr>
      <w:r w:rsidRPr="00863431">
        <w:rPr>
          <w:rFonts w:hint="eastAsia"/>
          <w:color w:val="auto"/>
        </w:rPr>
        <w:t>シアン化水素関係</w:t>
      </w:r>
    </w:p>
    <w:p w:rsidR="008B2A1B" w:rsidRPr="00863431" w:rsidRDefault="008B2A1B" w:rsidP="008B2A1B">
      <w:pPr>
        <w:pStyle w:val="a3"/>
        <w:numPr>
          <w:ilvl w:val="0"/>
          <w:numId w:val="5"/>
        </w:numPr>
        <w:ind w:leftChars="0"/>
        <w:rPr>
          <w:color w:val="auto"/>
        </w:rPr>
      </w:pPr>
      <w:r w:rsidRPr="00863431">
        <w:rPr>
          <w:rFonts w:hint="eastAsia"/>
          <w:color w:val="auto"/>
        </w:rPr>
        <w:t>酸化エチレン関係</w:t>
      </w:r>
    </w:p>
    <w:p w:rsidR="00863431" w:rsidRPr="00863431" w:rsidRDefault="008B2A1B" w:rsidP="008B2A1B">
      <w:pPr>
        <w:pStyle w:val="a3"/>
        <w:numPr>
          <w:ilvl w:val="0"/>
          <w:numId w:val="5"/>
        </w:numPr>
        <w:ind w:leftChars="0"/>
        <w:rPr>
          <w:rFonts w:hint="eastAsia"/>
          <w:b/>
          <w:color w:val="auto"/>
        </w:rPr>
      </w:pPr>
      <w:r w:rsidRPr="00863431">
        <w:rPr>
          <w:rFonts w:hint="eastAsia"/>
          <w:b/>
          <w:color w:val="auto"/>
        </w:rPr>
        <w:t>火気の使用禁止等</w:t>
      </w:r>
    </w:p>
    <w:p w:rsidR="008B2A1B" w:rsidRPr="00863431" w:rsidRDefault="008B2A1B" w:rsidP="00863431">
      <w:pPr>
        <w:pStyle w:val="a3"/>
        <w:ind w:leftChars="0" w:left="720"/>
        <w:rPr>
          <w:color w:val="auto"/>
        </w:rPr>
      </w:pPr>
      <w:r w:rsidRPr="00863431">
        <w:rPr>
          <w:rFonts w:hint="eastAsia"/>
          <w:color w:val="auto"/>
        </w:rPr>
        <w:t xml:space="preserve">　可燃ガス、酸素又は三フッ化窒素の消費に使用する設備から周囲5m以内での、喫煙及び火気の使用を禁じ、かつ、引火性、発火性の物を置かないこと。ただし、流動防止措置を設置した場合等を除く。</w:t>
      </w:r>
    </w:p>
    <w:p w:rsidR="008B2A1B" w:rsidRPr="00863431" w:rsidRDefault="008B2A1B" w:rsidP="008B2A1B">
      <w:pPr>
        <w:pStyle w:val="a3"/>
        <w:numPr>
          <w:ilvl w:val="0"/>
          <w:numId w:val="5"/>
        </w:numPr>
        <w:ind w:leftChars="0"/>
        <w:rPr>
          <w:color w:val="auto"/>
        </w:rPr>
      </w:pPr>
      <w:r w:rsidRPr="00863431">
        <w:rPr>
          <w:rFonts w:hint="eastAsia"/>
          <w:color w:val="auto"/>
        </w:rPr>
        <w:t>静電気の除去</w:t>
      </w:r>
    </w:p>
    <w:p w:rsidR="00863431" w:rsidRPr="00863431" w:rsidRDefault="00863431" w:rsidP="008B2A1B">
      <w:pPr>
        <w:pStyle w:val="a3"/>
        <w:numPr>
          <w:ilvl w:val="0"/>
          <w:numId w:val="5"/>
        </w:numPr>
        <w:ind w:leftChars="0"/>
        <w:rPr>
          <w:rFonts w:hint="eastAsia"/>
          <w:b/>
          <w:color w:val="auto"/>
        </w:rPr>
      </w:pPr>
      <w:r w:rsidRPr="00863431">
        <w:rPr>
          <w:rFonts w:hint="eastAsia"/>
          <w:b/>
          <w:color w:val="auto"/>
        </w:rPr>
        <w:t>消火器の設置</w:t>
      </w:r>
    </w:p>
    <w:p w:rsidR="008B2A1B" w:rsidRPr="00863431" w:rsidRDefault="008B2A1B" w:rsidP="00863431">
      <w:pPr>
        <w:pStyle w:val="a3"/>
        <w:ind w:leftChars="0" w:left="720" w:firstLineChars="100" w:firstLine="210"/>
        <w:rPr>
          <w:color w:val="auto"/>
        </w:rPr>
      </w:pPr>
      <w:r w:rsidRPr="00863431">
        <w:rPr>
          <w:rFonts w:hint="eastAsia"/>
          <w:color w:val="auto"/>
        </w:rPr>
        <w:t>可燃性ガス、酸素又は三フッ化窒素の消費施設には適切な消火設備を設けること。</w:t>
      </w:r>
    </w:p>
    <w:p w:rsidR="008B2A1B" w:rsidRPr="00863431" w:rsidRDefault="008B2A1B" w:rsidP="008B2A1B">
      <w:pPr>
        <w:pStyle w:val="a3"/>
        <w:numPr>
          <w:ilvl w:val="0"/>
          <w:numId w:val="5"/>
        </w:numPr>
        <w:ind w:leftChars="0"/>
        <w:rPr>
          <w:color w:val="auto"/>
        </w:rPr>
      </w:pPr>
      <w:r w:rsidRPr="00863431">
        <w:rPr>
          <w:rFonts w:hint="eastAsia"/>
          <w:color w:val="auto"/>
        </w:rPr>
        <w:t>溶接用アセチレンの消費等</w:t>
      </w:r>
    </w:p>
    <w:p w:rsidR="008B2A1B" w:rsidRPr="00863431" w:rsidRDefault="008B2A1B" w:rsidP="008B2A1B">
      <w:pPr>
        <w:pStyle w:val="a3"/>
        <w:numPr>
          <w:ilvl w:val="0"/>
          <w:numId w:val="5"/>
        </w:numPr>
        <w:ind w:leftChars="0"/>
        <w:rPr>
          <w:color w:val="auto"/>
        </w:rPr>
      </w:pPr>
      <w:r w:rsidRPr="00863431">
        <w:rPr>
          <w:rFonts w:hint="eastAsia"/>
          <w:color w:val="auto"/>
        </w:rPr>
        <w:t>溶接用天然ガスの消費等</w:t>
      </w:r>
    </w:p>
    <w:p w:rsidR="008B2A1B" w:rsidRPr="00863431" w:rsidRDefault="008B2A1B" w:rsidP="008B2A1B">
      <w:pPr>
        <w:pStyle w:val="a3"/>
        <w:numPr>
          <w:ilvl w:val="0"/>
          <w:numId w:val="5"/>
        </w:numPr>
        <w:ind w:leftChars="0"/>
        <w:rPr>
          <w:color w:val="auto"/>
        </w:rPr>
      </w:pPr>
      <w:r w:rsidRPr="00863431">
        <w:rPr>
          <w:rFonts w:hint="eastAsia"/>
          <w:color w:val="auto"/>
        </w:rPr>
        <w:lastRenderedPageBreak/>
        <w:t>酸素消費時の措置</w:t>
      </w:r>
    </w:p>
    <w:p w:rsidR="00863431" w:rsidRPr="00863431" w:rsidRDefault="008B2A1B" w:rsidP="008B2A1B">
      <w:pPr>
        <w:pStyle w:val="a3"/>
        <w:numPr>
          <w:ilvl w:val="0"/>
          <w:numId w:val="5"/>
        </w:numPr>
        <w:ind w:leftChars="0"/>
        <w:rPr>
          <w:rFonts w:hint="eastAsia"/>
          <w:b/>
          <w:color w:val="auto"/>
        </w:rPr>
      </w:pPr>
      <w:r w:rsidRPr="00863431">
        <w:rPr>
          <w:rFonts w:hint="eastAsia"/>
          <w:b/>
          <w:color w:val="auto"/>
        </w:rPr>
        <w:t>消費後の容器</w:t>
      </w:r>
    </w:p>
    <w:p w:rsidR="008B2A1B" w:rsidRPr="00863431" w:rsidRDefault="008B2A1B" w:rsidP="00863431">
      <w:pPr>
        <w:pStyle w:val="a3"/>
        <w:ind w:leftChars="0" w:left="720"/>
        <w:rPr>
          <w:color w:val="auto"/>
        </w:rPr>
      </w:pPr>
      <w:r w:rsidRPr="00863431">
        <w:rPr>
          <w:rFonts w:hint="eastAsia"/>
          <w:color w:val="auto"/>
        </w:rPr>
        <w:t xml:space="preserve">　消費した後はバルブを閉じ、容器の転倒及び、バルブの損傷を防止する措置を講ずること。</w:t>
      </w:r>
    </w:p>
    <w:p w:rsidR="008B2A1B" w:rsidRPr="00863431" w:rsidRDefault="008B2A1B" w:rsidP="008B2A1B">
      <w:pPr>
        <w:pStyle w:val="a3"/>
        <w:numPr>
          <w:ilvl w:val="0"/>
          <w:numId w:val="5"/>
        </w:numPr>
        <w:ind w:leftChars="0"/>
        <w:rPr>
          <w:color w:val="auto"/>
        </w:rPr>
      </w:pPr>
      <w:r w:rsidRPr="00863431">
        <w:rPr>
          <w:rFonts w:hint="eastAsia"/>
          <w:color w:val="auto"/>
        </w:rPr>
        <w:t>修理等の方法</w:t>
      </w:r>
    </w:p>
    <w:p w:rsidR="00863431" w:rsidRPr="00863431" w:rsidRDefault="00F34CD4" w:rsidP="008B2A1B">
      <w:pPr>
        <w:pStyle w:val="a3"/>
        <w:numPr>
          <w:ilvl w:val="0"/>
          <w:numId w:val="5"/>
        </w:numPr>
        <w:ind w:leftChars="0"/>
        <w:rPr>
          <w:rFonts w:hint="eastAsia"/>
          <w:b/>
          <w:color w:val="auto"/>
        </w:rPr>
      </w:pPr>
      <w:r w:rsidRPr="00863431">
        <w:rPr>
          <w:rFonts w:hint="eastAsia"/>
          <w:b/>
          <w:color w:val="auto"/>
        </w:rPr>
        <w:t>日常点検</w:t>
      </w:r>
    </w:p>
    <w:p w:rsidR="008B2A1B" w:rsidRPr="00863431" w:rsidRDefault="00F34CD4" w:rsidP="00863431">
      <w:pPr>
        <w:pStyle w:val="a3"/>
        <w:ind w:leftChars="0" w:left="720"/>
        <w:rPr>
          <w:color w:val="auto"/>
        </w:rPr>
      </w:pPr>
      <w:r w:rsidRPr="00863431">
        <w:rPr>
          <w:rFonts w:hint="eastAsia"/>
          <w:color w:val="auto"/>
        </w:rPr>
        <w:t xml:space="preserve">　消費設備の使用開始時、終了時及びその他に1日1回以上設備の異常の有無を点検し、異常のあるときは補修その他危険を防止する措置を講ずること。</w:t>
      </w:r>
    </w:p>
    <w:p w:rsidR="00F34CD4" w:rsidRPr="00863431" w:rsidRDefault="00F34CD4" w:rsidP="00DB4864">
      <w:pPr>
        <w:pStyle w:val="a3"/>
        <w:numPr>
          <w:ilvl w:val="0"/>
          <w:numId w:val="5"/>
        </w:numPr>
        <w:ind w:leftChars="0"/>
        <w:rPr>
          <w:color w:val="auto"/>
        </w:rPr>
      </w:pPr>
      <w:r w:rsidRPr="00863431">
        <w:rPr>
          <w:rFonts w:hint="eastAsia"/>
          <w:color w:val="auto"/>
        </w:rPr>
        <w:t>一般複合容器の使用制限</w:t>
      </w:r>
    </w:p>
    <w:sectPr w:rsidR="00F34CD4" w:rsidRPr="008634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D8" w:rsidRDefault="00955CD8" w:rsidP="00863431">
      <w:r>
        <w:separator/>
      </w:r>
    </w:p>
  </w:endnote>
  <w:endnote w:type="continuationSeparator" w:id="0">
    <w:p w:rsidR="00955CD8" w:rsidRDefault="00955CD8" w:rsidP="0086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D8" w:rsidRDefault="00955CD8" w:rsidP="00863431">
      <w:r>
        <w:separator/>
      </w:r>
    </w:p>
  </w:footnote>
  <w:footnote w:type="continuationSeparator" w:id="0">
    <w:p w:rsidR="00955CD8" w:rsidRDefault="00955CD8" w:rsidP="0086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99B"/>
    <w:multiLevelType w:val="hybridMultilevel"/>
    <w:tmpl w:val="B734D2BA"/>
    <w:lvl w:ilvl="0" w:tplc="5836A91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2CA5FDD"/>
    <w:multiLevelType w:val="hybridMultilevel"/>
    <w:tmpl w:val="E864C62E"/>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B562B34"/>
    <w:multiLevelType w:val="hybridMultilevel"/>
    <w:tmpl w:val="5A04C77A"/>
    <w:lvl w:ilvl="0" w:tplc="63DC8142">
      <w:start w:val="1"/>
      <w:numFmt w:val="irohaFullWidth"/>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3FE72FD9"/>
    <w:multiLevelType w:val="hybridMultilevel"/>
    <w:tmpl w:val="28523320"/>
    <w:lvl w:ilvl="0" w:tplc="4E3CC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A26C00"/>
    <w:multiLevelType w:val="hybridMultilevel"/>
    <w:tmpl w:val="F2EC02F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B9"/>
    <w:rsid w:val="001B77B9"/>
    <w:rsid w:val="00285626"/>
    <w:rsid w:val="002E3C4C"/>
    <w:rsid w:val="006817EE"/>
    <w:rsid w:val="007F6308"/>
    <w:rsid w:val="00817F65"/>
    <w:rsid w:val="00863431"/>
    <w:rsid w:val="008B2A1B"/>
    <w:rsid w:val="00955CD8"/>
    <w:rsid w:val="00C64AF5"/>
    <w:rsid w:val="00CE1DA1"/>
    <w:rsid w:val="00DB4864"/>
    <w:rsid w:val="00F3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26"/>
    <w:pPr>
      <w:widowControl w:val="0"/>
      <w:overflowPunct w:val="0"/>
      <w:adjustRightInd w:val="0"/>
      <w:jc w:val="both"/>
      <w:textAlignment w:val="baseline"/>
    </w:pPr>
    <w:rPr>
      <w:rFonts w:ascii="ＭＳ 明朝" w:hAnsi="ＭＳ 明朝" w:cs="ＭＳ 明朝"/>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26"/>
    <w:pPr>
      <w:ind w:leftChars="400" w:left="840"/>
    </w:pPr>
  </w:style>
  <w:style w:type="paragraph" w:styleId="a4">
    <w:name w:val="header"/>
    <w:basedOn w:val="a"/>
    <w:link w:val="a5"/>
    <w:uiPriority w:val="99"/>
    <w:unhideWhenUsed/>
    <w:rsid w:val="00863431"/>
    <w:pPr>
      <w:tabs>
        <w:tab w:val="center" w:pos="4252"/>
        <w:tab w:val="right" w:pos="8504"/>
      </w:tabs>
      <w:snapToGrid w:val="0"/>
    </w:pPr>
  </w:style>
  <w:style w:type="character" w:customStyle="1" w:styleId="a5">
    <w:name w:val="ヘッダー (文字)"/>
    <w:basedOn w:val="a0"/>
    <w:link w:val="a4"/>
    <w:uiPriority w:val="99"/>
    <w:rsid w:val="00863431"/>
    <w:rPr>
      <w:rFonts w:ascii="ＭＳ 明朝" w:hAnsi="ＭＳ 明朝" w:cs="ＭＳ 明朝"/>
      <w:snapToGrid w:val="0"/>
      <w:color w:val="000000"/>
      <w:sz w:val="21"/>
      <w:szCs w:val="21"/>
    </w:rPr>
  </w:style>
  <w:style w:type="paragraph" w:styleId="a6">
    <w:name w:val="footer"/>
    <w:basedOn w:val="a"/>
    <w:link w:val="a7"/>
    <w:uiPriority w:val="99"/>
    <w:unhideWhenUsed/>
    <w:rsid w:val="00863431"/>
    <w:pPr>
      <w:tabs>
        <w:tab w:val="center" w:pos="4252"/>
        <w:tab w:val="right" w:pos="8504"/>
      </w:tabs>
      <w:snapToGrid w:val="0"/>
    </w:pPr>
  </w:style>
  <w:style w:type="character" w:customStyle="1" w:styleId="a7">
    <w:name w:val="フッター (文字)"/>
    <w:basedOn w:val="a0"/>
    <w:link w:val="a6"/>
    <w:uiPriority w:val="99"/>
    <w:rsid w:val="00863431"/>
    <w:rPr>
      <w:rFonts w:ascii="ＭＳ 明朝" w:hAnsi="ＭＳ 明朝" w:cs="ＭＳ 明朝"/>
      <w:snapToGrid w:val="0"/>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626"/>
    <w:pPr>
      <w:widowControl w:val="0"/>
      <w:overflowPunct w:val="0"/>
      <w:adjustRightInd w:val="0"/>
      <w:jc w:val="both"/>
      <w:textAlignment w:val="baseline"/>
    </w:pPr>
    <w:rPr>
      <w:rFonts w:ascii="ＭＳ 明朝" w:hAnsi="ＭＳ 明朝" w:cs="ＭＳ 明朝"/>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26"/>
    <w:pPr>
      <w:ind w:leftChars="400" w:left="840"/>
    </w:pPr>
  </w:style>
  <w:style w:type="paragraph" w:styleId="a4">
    <w:name w:val="header"/>
    <w:basedOn w:val="a"/>
    <w:link w:val="a5"/>
    <w:uiPriority w:val="99"/>
    <w:unhideWhenUsed/>
    <w:rsid w:val="00863431"/>
    <w:pPr>
      <w:tabs>
        <w:tab w:val="center" w:pos="4252"/>
        <w:tab w:val="right" w:pos="8504"/>
      </w:tabs>
      <w:snapToGrid w:val="0"/>
    </w:pPr>
  </w:style>
  <w:style w:type="character" w:customStyle="1" w:styleId="a5">
    <w:name w:val="ヘッダー (文字)"/>
    <w:basedOn w:val="a0"/>
    <w:link w:val="a4"/>
    <w:uiPriority w:val="99"/>
    <w:rsid w:val="00863431"/>
    <w:rPr>
      <w:rFonts w:ascii="ＭＳ 明朝" w:hAnsi="ＭＳ 明朝" w:cs="ＭＳ 明朝"/>
      <w:snapToGrid w:val="0"/>
      <w:color w:val="000000"/>
      <w:sz w:val="21"/>
      <w:szCs w:val="21"/>
    </w:rPr>
  </w:style>
  <w:style w:type="paragraph" w:styleId="a6">
    <w:name w:val="footer"/>
    <w:basedOn w:val="a"/>
    <w:link w:val="a7"/>
    <w:uiPriority w:val="99"/>
    <w:unhideWhenUsed/>
    <w:rsid w:val="00863431"/>
    <w:pPr>
      <w:tabs>
        <w:tab w:val="center" w:pos="4252"/>
        <w:tab w:val="right" w:pos="8504"/>
      </w:tabs>
      <w:snapToGrid w:val="0"/>
    </w:pPr>
  </w:style>
  <w:style w:type="character" w:customStyle="1" w:styleId="a7">
    <w:name w:val="フッター (文字)"/>
    <w:basedOn w:val="a0"/>
    <w:link w:val="a6"/>
    <w:uiPriority w:val="99"/>
    <w:rsid w:val="00863431"/>
    <w:rPr>
      <w:rFonts w:ascii="ＭＳ 明朝" w:hAnsi="ＭＳ 明朝" w:cs="ＭＳ 明朝"/>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dc:creator>
  <cp:lastModifiedBy>Takada</cp:lastModifiedBy>
  <cp:revision>3</cp:revision>
  <cp:lastPrinted>2016-01-04T11:25:00Z</cp:lastPrinted>
  <dcterms:created xsi:type="dcterms:W3CDTF">2016-01-04T05:38:00Z</dcterms:created>
  <dcterms:modified xsi:type="dcterms:W3CDTF">2016-01-05T05:00:00Z</dcterms:modified>
</cp:coreProperties>
</file>