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D" w:rsidRPr="008E309F" w:rsidRDefault="00FA2F27" w:rsidP="008E309F">
      <w:pPr>
        <w:jc w:val="center"/>
        <w:rPr>
          <w:b/>
          <w:sz w:val="28"/>
          <w:szCs w:val="28"/>
        </w:rPr>
      </w:pPr>
      <w:r w:rsidRPr="008E309F">
        <w:rPr>
          <w:b/>
          <w:sz w:val="28"/>
          <w:szCs w:val="28"/>
        </w:rPr>
        <w:t>Group jobs</w:t>
      </w:r>
      <w:r w:rsidR="00343CA0" w:rsidRPr="008E309F">
        <w:rPr>
          <w:b/>
          <w:sz w:val="28"/>
          <w:szCs w:val="28"/>
        </w:rPr>
        <w:t xml:space="preserve"> in Coordination Chemistry and Catalysis Unit</w:t>
      </w:r>
    </w:p>
    <w:p w:rsidR="00343CA0" w:rsidRPr="00343CA0" w:rsidRDefault="005F44CF">
      <w:pPr>
        <w:rPr>
          <w:sz w:val="28"/>
          <w:szCs w:val="28"/>
        </w:rPr>
      </w:pPr>
      <w:r>
        <w:rPr>
          <w:sz w:val="28"/>
          <w:szCs w:val="28"/>
        </w:rPr>
        <w:t>July 05,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215"/>
      </w:tblGrid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b/>
                <w:sz w:val="28"/>
                <w:szCs w:val="28"/>
              </w:rPr>
            </w:pPr>
            <w:r w:rsidRPr="00343CA0">
              <w:rPr>
                <w:b/>
                <w:sz w:val="28"/>
                <w:szCs w:val="28"/>
              </w:rPr>
              <w:t>Job</w:t>
            </w:r>
          </w:p>
        </w:tc>
        <w:tc>
          <w:tcPr>
            <w:tcW w:w="2693" w:type="dxa"/>
          </w:tcPr>
          <w:p w:rsidR="00FA2F27" w:rsidRPr="00343CA0" w:rsidRDefault="00FA2F27" w:rsidP="00343CA0">
            <w:pPr>
              <w:spacing w:line="276" w:lineRule="auto"/>
              <w:rPr>
                <w:b/>
                <w:sz w:val="28"/>
                <w:szCs w:val="28"/>
              </w:rPr>
            </w:pPr>
            <w:r w:rsidRPr="00343CA0">
              <w:rPr>
                <w:b/>
                <w:sz w:val="28"/>
                <w:szCs w:val="28"/>
              </w:rPr>
              <w:t>Primary person</w:t>
            </w:r>
          </w:p>
        </w:tc>
        <w:tc>
          <w:tcPr>
            <w:tcW w:w="2215" w:type="dxa"/>
          </w:tcPr>
          <w:p w:rsidR="00FA2F27" w:rsidRPr="00343CA0" w:rsidRDefault="00FA2F27" w:rsidP="00343CA0">
            <w:pPr>
              <w:spacing w:line="276" w:lineRule="auto"/>
              <w:rPr>
                <w:b/>
                <w:sz w:val="28"/>
                <w:szCs w:val="28"/>
              </w:rPr>
            </w:pPr>
            <w:r w:rsidRPr="00343CA0">
              <w:rPr>
                <w:b/>
                <w:sz w:val="28"/>
                <w:szCs w:val="28"/>
              </w:rPr>
              <w:t>Secondary person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 xml:space="preserve">CMS, </w:t>
            </w:r>
          </w:p>
          <w:p w:rsidR="00FA2F27" w:rsidRPr="00343CA0" w:rsidRDefault="0099557B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solvents</w:t>
            </w:r>
            <w:r w:rsidR="00FA2F27" w:rsidRPr="00343CA0">
              <w:rPr>
                <w:sz w:val="28"/>
                <w:szCs w:val="28"/>
              </w:rPr>
              <w:t xml:space="preserve"> ordering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Pradnya</w:t>
            </w:r>
            <w:proofErr w:type="spellEnd"/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Abhi</w:t>
            </w:r>
            <w:proofErr w:type="spellEnd"/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Waste disposal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Abhi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43CA0" w:rsidRPr="00343CA0">
              <w:rPr>
                <w:sz w:val="28"/>
                <w:szCs w:val="28"/>
              </w:rPr>
              <w:t>Orestes</w:t>
            </w:r>
          </w:p>
        </w:tc>
        <w:tc>
          <w:tcPr>
            <w:tcW w:w="2215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43CA0">
              <w:rPr>
                <w:sz w:val="28"/>
                <w:szCs w:val="28"/>
              </w:rPr>
              <w:t>Rotovaps</w:t>
            </w:r>
            <w:proofErr w:type="spellEnd"/>
          </w:p>
        </w:tc>
        <w:tc>
          <w:tcPr>
            <w:tcW w:w="2693" w:type="dxa"/>
          </w:tcPr>
          <w:p w:rsidR="00FA2F27" w:rsidRPr="00343CA0" w:rsidRDefault="005F44CF" w:rsidP="005F44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Orestes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Eugene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Balances</w:t>
            </w:r>
            <w:r w:rsidR="0018347A" w:rsidRPr="00343CA0">
              <w:rPr>
                <w:sz w:val="28"/>
                <w:szCs w:val="28"/>
              </w:rPr>
              <w:t xml:space="preserve"> and</w:t>
            </w:r>
            <w:r w:rsidRPr="00343CA0">
              <w:rPr>
                <w:sz w:val="28"/>
                <w:szCs w:val="28"/>
              </w:rPr>
              <w:t xml:space="preserve"> ultrasonic cleaner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Orestes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GC, GC-MS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Eugene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Abhi</w:t>
            </w:r>
            <w:proofErr w:type="spellEnd"/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FT-IR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Julia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UV-vis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Pradnya</w:t>
            </w:r>
            <w:proofErr w:type="spellEnd"/>
          </w:p>
        </w:tc>
        <w:tc>
          <w:tcPr>
            <w:tcW w:w="2215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Julia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SPS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Glovebox 1</w:t>
            </w:r>
            <w:r w:rsidR="00343CA0" w:rsidRPr="00343CA0">
              <w:rPr>
                <w:sz w:val="28"/>
                <w:szCs w:val="28"/>
              </w:rPr>
              <w:t xml:space="preserve"> (double</w:t>
            </w:r>
            <w:r w:rsidR="00343CA0">
              <w:rPr>
                <w:sz w:val="28"/>
                <w:szCs w:val="28"/>
              </w:rPr>
              <w:t xml:space="preserve">, </w:t>
            </w:r>
            <w:proofErr w:type="spellStart"/>
            <w:r w:rsidR="00343CA0">
              <w:rPr>
                <w:sz w:val="28"/>
                <w:szCs w:val="28"/>
              </w:rPr>
              <w:t>Ar</w:t>
            </w:r>
            <w:proofErr w:type="spellEnd"/>
            <w:r w:rsidR="00343CA0" w:rsidRPr="00343CA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Pradnya</w:t>
            </w:r>
            <w:proofErr w:type="spellEnd"/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Glovebox 2</w:t>
            </w:r>
            <w:r w:rsidR="00343CA0" w:rsidRPr="00343CA0">
              <w:rPr>
                <w:sz w:val="28"/>
                <w:szCs w:val="28"/>
              </w:rPr>
              <w:t xml:space="preserve"> (single</w:t>
            </w:r>
            <w:r w:rsidR="00343CA0">
              <w:rPr>
                <w:sz w:val="28"/>
                <w:szCs w:val="28"/>
              </w:rPr>
              <w:t>, N</w:t>
            </w:r>
            <w:r w:rsidR="00343CA0" w:rsidRPr="00343CA0">
              <w:rPr>
                <w:sz w:val="28"/>
                <w:szCs w:val="28"/>
                <w:vertAlign w:val="subscript"/>
              </w:rPr>
              <w:t>2</w:t>
            </w:r>
            <w:r w:rsidR="00343CA0" w:rsidRPr="00343CA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A2F27" w:rsidRPr="00343CA0" w:rsidRDefault="00343CA0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Orestes</w:t>
            </w:r>
          </w:p>
        </w:tc>
        <w:tc>
          <w:tcPr>
            <w:tcW w:w="2215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Glovebox 3</w:t>
            </w:r>
          </w:p>
        </w:tc>
        <w:tc>
          <w:tcPr>
            <w:tcW w:w="2693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Eugene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Abhi</w:t>
            </w:r>
            <w:proofErr w:type="spellEnd"/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Electrochemistry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Pradnya</w:t>
            </w:r>
            <w:proofErr w:type="spellEnd"/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X-ray</w:t>
            </w:r>
          </w:p>
        </w:tc>
        <w:tc>
          <w:tcPr>
            <w:tcW w:w="2693" w:type="dxa"/>
          </w:tcPr>
          <w:p w:rsidR="00FA2F27" w:rsidRPr="00343CA0" w:rsidRDefault="00AC6466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Julia, Eugene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Orestes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Elemental Analyzer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(Roy)</w:t>
            </w:r>
          </w:p>
        </w:tc>
      </w:tr>
      <w:tr w:rsidR="00FA2F27" w:rsidRPr="00343CA0" w:rsidTr="00343CA0">
        <w:tc>
          <w:tcPr>
            <w:tcW w:w="3794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GPC</w:t>
            </w:r>
          </w:p>
        </w:tc>
        <w:tc>
          <w:tcPr>
            <w:tcW w:w="2693" w:type="dxa"/>
          </w:tcPr>
          <w:p w:rsidR="00FA2F27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Georgy</w:t>
            </w:r>
          </w:p>
        </w:tc>
        <w:tc>
          <w:tcPr>
            <w:tcW w:w="2215" w:type="dxa"/>
          </w:tcPr>
          <w:p w:rsidR="00FA2F27" w:rsidRPr="00343CA0" w:rsidRDefault="00FA2F27" w:rsidP="00343C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24FC" w:rsidRPr="00343CA0" w:rsidTr="00343CA0">
        <w:tc>
          <w:tcPr>
            <w:tcW w:w="3794" w:type="dxa"/>
          </w:tcPr>
          <w:p w:rsidR="002924FC" w:rsidRPr="00343CA0" w:rsidRDefault="002924FC" w:rsidP="00343CA0">
            <w:pPr>
              <w:spacing w:line="276" w:lineRule="auto"/>
              <w:rPr>
                <w:sz w:val="28"/>
                <w:szCs w:val="28"/>
              </w:rPr>
            </w:pPr>
            <w:r w:rsidRPr="00343CA0">
              <w:rPr>
                <w:sz w:val="28"/>
                <w:szCs w:val="28"/>
              </w:rPr>
              <w:t>Web page</w:t>
            </w:r>
          </w:p>
        </w:tc>
        <w:tc>
          <w:tcPr>
            <w:tcW w:w="2693" w:type="dxa"/>
          </w:tcPr>
          <w:p w:rsidR="002924FC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</w:t>
            </w:r>
          </w:p>
        </w:tc>
        <w:tc>
          <w:tcPr>
            <w:tcW w:w="2215" w:type="dxa"/>
          </w:tcPr>
          <w:p w:rsidR="002924FC" w:rsidRPr="00343CA0" w:rsidRDefault="005F44CF" w:rsidP="00343C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Chika</w:t>
            </w:r>
          </w:p>
        </w:tc>
      </w:tr>
    </w:tbl>
    <w:p w:rsidR="005F44CF" w:rsidRDefault="005F44CF">
      <w:pPr>
        <w:rPr>
          <w:sz w:val="28"/>
          <w:szCs w:val="28"/>
        </w:rPr>
      </w:pPr>
      <w:r w:rsidRPr="005F44CF">
        <w:rPr>
          <w:i/>
          <w:sz w:val="28"/>
          <w:szCs w:val="28"/>
        </w:rPr>
        <w:t>CMS</w:t>
      </w:r>
      <w:r>
        <w:rPr>
          <w:sz w:val="28"/>
          <w:szCs w:val="28"/>
        </w:rPr>
        <w:t>: making sure CMS is up to date; disposing of used solvents; training new members</w:t>
      </w:r>
      <w:r w:rsidR="008702C8">
        <w:rPr>
          <w:sz w:val="28"/>
          <w:szCs w:val="28"/>
        </w:rPr>
        <w:t>.</w:t>
      </w:r>
      <w:bookmarkStart w:id="0" w:name="_GoBack"/>
      <w:bookmarkEnd w:id="0"/>
    </w:p>
    <w:p w:rsidR="005F44CF" w:rsidRDefault="005F44CF">
      <w:pPr>
        <w:rPr>
          <w:sz w:val="28"/>
          <w:szCs w:val="28"/>
        </w:rPr>
      </w:pPr>
    </w:p>
    <w:p w:rsidR="005F44CF" w:rsidRDefault="005F44CF">
      <w:pPr>
        <w:rPr>
          <w:sz w:val="28"/>
          <w:szCs w:val="28"/>
        </w:rPr>
      </w:pPr>
      <w:r w:rsidRPr="005F44CF">
        <w:rPr>
          <w:i/>
          <w:sz w:val="28"/>
          <w:szCs w:val="28"/>
        </w:rPr>
        <w:t>Solvent ordering:</w:t>
      </w:r>
      <w:r>
        <w:rPr>
          <w:sz w:val="28"/>
          <w:szCs w:val="28"/>
        </w:rPr>
        <w:t xml:space="preserve"> only 1 extra diethyl ether or THF should be in storage; for other solvents, no more than 3 extra containers in storage</w:t>
      </w:r>
    </w:p>
    <w:p w:rsidR="005F44CF" w:rsidRDefault="005F44CF">
      <w:pPr>
        <w:rPr>
          <w:sz w:val="28"/>
          <w:szCs w:val="28"/>
        </w:rPr>
      </w:pPr>
    </w:p>
    <w:p w:rsidR="005F44CF" w:rsidRPr="00343CA0" w:rsidRDefault="005F44CF">
      <w:pPr>
        <w:rPr>
          <w:sz w:val="28"/>
          <w:szCs w:val="28"/>
        </w:rPr>
      </w:pPr>
      <w:r w:rsidRPr="005F44CF">
        <w:rPr>
          <w:i/>
          <w:sz w:val="28"/>
          <w:szCs w:val="28"/>
        </w:rPr>
        <w:t>Waste disposal</w:t>
      </w:r>
      <w:r>
        <w:rPr>
          <w:sz w:val="28"/>
          <w:szCs w:val="28"/>
        </w:rPr>
        <w:t>: training new members; checking that ALL waste bottles are closed, labeled, and waste is disposed on time. You need to remind others about proper waste disposal rules and can point out</w:t>
      </w:r>
      <w:r w:rsidR="00087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see violations. </w:t>
      </w:r>
    </w:p>
    <w:sectPr w:rsidR="005F44CF" w:rsidRPr="00343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D7"/>
    <w:rsid w:val="000873F7"/>
    <w:rsid w:val="0018347A"/>
    <w:rsid w:val="002924FC"/>
    <w:rsid w:val="003149D7"/>
    <w:rsid w:val="00343CA0"/>
    <w:rsid w:val="004E5085"/>
    <w:rsid w:val="005F44CF"/>
    <w:rsid w:val="008702C8"/>
    <w:rsid w:val="008E309F"/>
    <w:rsid w:val="0099557B"/>
    <w:rsid w:val="00AC6466"/>
    <w:rsid w:val="00C10C7D"/>
    <w:rsid w:val="00F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CA0"/>
  </w:style>
  <w:style w:type="character" w:customStyle="1" w:styleId="DateChar">
    <w:name w:val="Date Char"/>
    <w:basedOn w:val="DefaultParagraphFont"/>
    <w:link w:val="Date"/>
    <w:uiPriority w:val="99"/>
    <w:semiHidden/>
    <w:rsid w:val="00343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CA0"/>
  </w:style>
  <w:style w:type="character" w:customStyle="1" w:styleId="DateChar">
    <w:name w:val="Date Char"/>
    <w:basedOn w:val="DefaultParagraphFont"/>
    <w:link w:val="Date"/>
    <w:uiPriority w:val="99"/>
    <w:semiHidden/>
    <w:rsid w:val="0034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11</cp:revision>
  <dcterms:created xsi:type="dcterms:W3CDTF">2015-10-18T07:40:00Z</dcterms:created>
  <dcterms:modified xsi:type="dcterms:W3CDTF">2016-07-05T02:33:00Z</dcterms:modified>
</cp:coreProperties>
</file>