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923" w:rsidRDefault="00B52923" w:rsidP="00B52923">
      <w:pPr>
        <w:spacing w:line="276" w:lineRule="auto"/>
        <w:jc w:val="both"/>
        <w:rPr>
          <w:rFonts w:ascii="Times New Roman" w:hAnsi="Times New Roman" w:cs="Times New Roman" w:hint="eastAsia"/>
          <w:b/>
          <w:sz w:val="28"/>
        </w:rPr>
      </w:pPr>
    </w:p>
    <w:p w:rsidR="00B52923" w:rsidRDefault="00B52923" w:rsidP="00B52923">
      <w:pPr>
        <w:spacing w:line="276" w:lineRule="auto"/>
        <w:jc w:val="both"/>
        <w:rPr>
          <w:rFonts w:ascii="Arial" w:hAnsi="Arial" w:cs="Arial" w:hint="eastAsia"/>
          <w:b/>
          <w:color w:val="222222"/>
          <w:sz w:val="28"/>
          <w:szCs w:val="28"/>
          <w:shd w:val="clear" w:color="auto" w:fill="FFFFFF"/>
        </w:rPr>
      </w:pPr>
      <w:r w:rsidRPr="00B52923">
        <w:rPr>
          <w:rStyle w:val="il"/>
          <w:rFonts w:ascii="Arial" w:hAnsi="Arial" w:cs="Arial"/>
          <w:b/>
          <w:color w:val="222222"/>
          <w:sz w:val="28"/>
          <w:szCs w:val="28"/>
          <w:shd w:val="clear" w:color="auto" w:fill="FFFFFF"/>
        </w:rPr>
        <w:t>Harnessing</w:t>
      </w:r>
      <w:r w:rsidRPr="00B52923">
        <w:rPr>
          <w:rFonts w:ascii="Arial" w:hAnsi="Arial" w:cs="Arial" w:hint="eastAsia"/>
          <w:b/>
          <w:color w:val="222222"/>
          <w:sz w:val="28"/>
          <w:szCs w:val="28"/>
          <w:shd w:val="clear" w:color="auto" w:fill="FFFFFF"/>
        </w:rPr>
        <w:t xml:space="preserve"> </w:t>
      </w:r>
      <w:r w:rsidRPr="00B52923">
        <w:rPr>
          <w:rStyle w:val="il"/>
          <w:rFonts w:ascii="Arial" w:hAnsi="Arial" w:cs="Arial"/>
          <w:b/>
          <w:color w:val="222222"/>
          <w:sz w:val="28"/>
          <w:szCs w:val="28"/>
          <w:shd w:val="clear" w:color="auto" w:fill="FFFFFF"/>
        </w:rPr>
        <w:t>the</w:t>
      </w:r>
      <w:r w:rsidRPr="00B52923">
        <w:rPr>
          <w:rFonts w:ascii="Arial" w:hAnsi="Arial" w:cs="Arial" w:hint="eastAsia"/>
          <w:b/>
          <w:color w:val="222222"/>
          <w:sz w:val="28"/>
          <w:szCs w:val="28"/>
          <w:shd w:val="clear" w:color="auto" w:fill="FFFFFF"/>
        </w:rPr>
        <w:t xml:space="preserve"> </w:t>
      </w:r>
      <w:r w:rsidRPr="00B52923">
        <w:rPr>
          <w:rStyle w:val="il"/>
          <w:rFonts w:ascii="Arial" w:hAnsi="Arial" w:cs="Arial"/>
          <w:b/>
          <w:color w:val="222222"/>
          <w:sz w:val="28"/>
          <w:szCs w:val="28"/>
          <w:shd w:val="clear" w:color="auto" w:fill="FFFFFF"/>
        </w:rPr>
        <w:t>power</w:t>
      </w:r>
      <w:r w:rsidRPr="00B52923">
        <w:rPr>
          <w:rFonts w:ascii="Arial" w:hAnsi="Arial" w:cs="Arial" w:hint="eastAsia"/>
          <w:b/>
          <w:color w:val="222222"/>
          <w:sz w:val="28"/>
          <w:szCs w:val="28"/>
          <w:shd w:val="clear" w:color="auto" w:fill="FFFFFF"/>
        </w:rPr>
        <w:t xml:space="preserve"> </w:t>
      </w:r>
      <w:r w:rsidRPr="00B52923">
        <w:rPr>
          <w:rStyle w:val="il"/>
          <w:rFonts w:ascii="Arial" w:hAnsi="Arial" w:cs="Arial"/>
          <w:b/>
          <w:color w:val="222222"/>
          <w:sz w:val="28"/>
          <w:szCs w:val="28"/>
          <w:shd w:val="clear" w:color="auto" w:fill="FFFFFF"/>
        </w:rPr>
        <w:t>of</w:t>
      </w:r>
      <w:r w:rsidRPr="00B52923">
        <w:rPr>
          <w:rFonts w:ascii="Arial" w:hAnsi="Arial" w:cs="Arial" w:hint="eastAsia"/>
          <w:b/>
          <w:color w:val="222222"/>
          <w:sz w:val="28"/>
          <w:szCs w:val="28"/>
          <w:shd w:val="clear" w:color="auto" w:fill="FFFFFF"/>
        </w:rPr>
        <w:t xml:space="preserve"> </w:t>
      </w:r>
      <w:r w:rsidRPr="00B52923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Bertozzi reaction</w:t>
      </w:r>
      <w:r w:rsidRPr="00B52923">
        <w:rPr>
          <w:rFonts w:ascii="Arial" w:hAnsi="Arial" w:cs="Arial" w:hint="eastAsia"/>
          <w:b/>
          <w:color w:val="222222"/>
          <w:sz w:val="28"/>
          <w:szCs w:val="28"/>
          <w:shd w:val="clear" w:color="auto" w:fill="FFFFFF"/>
        </w:rPr>
        <w:t xml:space="preserve"> for capturing flexible parts in cryo-EM structures</w:t>
      </w:r>
    </w:p>
    <w:p w:rsidR="00B52923" w:rsidRDefault="00B52923" w:rsidP="00B52923">
      <w:pPr>
        <w:spacing w:line="276" w:lineRule="auto"/>
        <w:jc w:val="both"/>
        <w:rPr>
          <w:rFonts w:ascii="Arial" w:hAnsi="Arial" w:cs="Arial" w:hint="eastAsia"/>
          <w:b/>
          <w:color w:val="222222"/>
          <w:sz w:val="28"/>
          <w:szCs w:val="28"/>
          <w:shd w:val="clear" w:color="auto" w:fill="FFFFFF"/>
        </w:rPr>
      </w:pPr>
    </w:p>
    <w:p w:rsidR="00B52923" w:rsidRPr="00BF2EDA" w:rsidRDefault="00B52923" w:rsidP="00BF2EDA">
      <w:pPr>
        <w:spacing w:line="276" w:lineRule="auto"/>
        <w:jc w:val="center"/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</w:pPr>
      <w:r w:rsidRPr="00BF2EDA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Wei-Hau Chang, Ph.D.</w:t>
      </w:r>
    </w:p>
    <w:p w:rsidR="00B52923" w:rsidRPr="00BF2EDA" w:rsidRDefault="00B52923" w:rsidP="00BF2EDA">
      <w:pPr>
        <w:spacing w:line="276" w:lineRule="auto"/>
        <w:jc w:val="center"/>
        <w:rPr>
          <w:rFonts w:ascii="Times New Roman" w:hAnsi="Times New Roman" w:cs="Times New Roman" w:hint="eastAsia"/>
          <w:sz w:val="28"/>
          <w:szCs w:val="28"/>
        </w:rPr>
      </w:pPr>
      <w:r w:rsidRPr="00BF2EDA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Institute of Chemistry</w:t>
      </w:r>
      <w:r w:rsidR="00BF2EDA" w:rsidRPr="00BF2EDA">
        <w:rPr>
          <w:rFonts w:ascii="Arial" w:hAnsi="Arial" w:cs="Arial" w:hint="eastAsia"/>
          <w:color w:val="222222"/>
          <w:sz w:val="28"/>
          <w:szCs w:val="28"/>
          <w:shd w:val="clear" w:color="auto" w:fill="FFFFFF"/>
        </w:rPr>
        <w:t>, Academia Sinica, Taiwan</w:t>
      </w:r>
    </w:p>
    <w:p w:rsidR="00B52923" w:rsidRDefault="00B52923" w:rsidP="00B52923">
      <w:pPr>
        <w:spacing w:line="276" w:lineRule="auto"/>
        <w:jc w:val="both"/>
        <w:rPr>
          <w:rFonts w:ascii="Times New Roman" w:hAnsi="Times New Roman" w:cs="Times New Roman" w:hint="eastAsia"/>
          <w:b/>
          <w:sz w:val="28"/>
        </w:rPr>
      </w:pPr>
    </w:p>
    <w:p w:rsidR="00B52923" w:rsidRDefault="00B52923" w:rsidP="00B52923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 w:hint="eastAsia"/>
          <w:b/>
          <w:sz w:val="28"/>
        </w:rPr>
        <w:t>Abstract</w:t>
      </w:r>
      <w:r w:rsidRPr="001A7403">
        <w:rPr>
          <w:rFonts w:ascii="Times New Roman" w:hAnsi="Times New Roman" w:cs="Times New Roman" w:hint="eastAsia"/>
          <w:color w:val="FF0000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ab/>
      </w:r>
      <w:r w:rsidR="00BF2EDA">
        <w:rPr>
          <w:rFonts w:ascii="Times New Roman" w:hAnsi="Times New Roman" w:cs="Times New Roman" w:hint="eastAsia"/>
          <w:color w:val="000000" w:themeColor="text1"/>
        </w:rPr>
        <w:t xml:space="preserve">Despite that single particle cryo-EM has become a powerful tool for structural biology as it offers maps with resolutions comparable to those from X-ray crystallography but without the need of crystal, this </w:t>
      </w:r>
      <w:r w:rsidR="00BF2EDA">
        <w:rPr>
          <w:rFonts w:ascii="Times New Roman" w:hAnsi="Times New Roman" w:cs="Times New Roman"/>
          <w:color w:val="000000" w:themeColor="text1"/>
        </w:rPr>
        <w:t xml:space="preserve">technique </w:t>
      </w:r>
      <w:r w:rsidR="00BF2EDA">
        <w:rPr>
          <w:rFonts w:ascii="Times New Roman" w:hAnsi="Times New Roman" w:cs="Times New Roman" w:hint="eastAsia"/>
          <w:color w:val="000000" w:themeColor="text1"/>
        </w:rPr>
        <w:t>fails to capture flexible parts in a macromolecule since it is an ensemble method. In the seminar</w:t>
      </w:r>
      <w:r w:rsidR="00820831">
        <w:rPr>
          <w:rFonts w:ascii="Times New Roman" w:hAnsi="Times New Roman" w:cs="Times New Roman" w:hint="eastAsia"/>
          <w:color w:val="000000" w:themeColor="text1"/>
        </w:rPr>
        <w:t>, I</w:t>
      </w:r>
      <w:r w:rsidR="00BF2EDA">
        <w:rPr>
          <w:rFonts w:ascii="Times New Roman" w:hAnsi="Times New Roman" w:cs="Times New Roman" w:hint="eastAsia"/>
          <w:color w:val="000000" w:themeColor="text1"/>
        </w:rPr>
        <w:t xml:space="preserve"> use </w:t>
      </w:r>
      <w:r w:rsidRPr="00464562">
        <w:rPr>
          <w:rFonts w:ascii="Times New Roman" w:hAnsi="Times New Roman" w:cs="Times New Roman"/>
          <w:color w:val="000000" w:themeColor="text1"/>
        </w:rPr>
        <w:t>RNA polymerase III (Pol III)</w:t>
      </w:r>
      <w:r w:rsidR="00BF2EDA">
        <w:rPr>
          <w:rFonts w:ascii="Times New Roman" w:hAnsi="Times New Roman" w:cs="Times New Roman" w:hint="eastAsia"/>
          <w:color w:val="000000" w:themeColor="text1"/>
        </w:rPr>
        <w:t>,</w:t>
      </w:r>
      <w:r w:rsidRPr="00464562">
        <w:rPr>
          <w:rFonts w:ascii="Times New Roman" w:hAnsi="Times New Roman" w:cs="Times New Roman"/>
          <w:color w:val="000000" w:themeColor="text1"/>
        </w:rPr>
        <w:t xml:space="preserve"> </w:t>
      </w:r>
      <w:r w:rsidR="00BF2EDA">
        <w:rPr>
          <w:rFonts w:ascii="Times New Roman" w:hAnsi="Times New Roman" w:cs="Times New Roman" w:hint="eastAsia"/>
          <w:color w:val="000000" w:themeColor="text1"/>
        </w:rPr>
        <w:t xml:space="preserve">which </w:t>
      </w:r>
      <w:r w:rsidRPr="00464562">
        <w:rPr>
          <w:rFonts w:ascii="Times New Roman" w:hAnsi="Times New Roman" w:cs="Times New Roman"/>
          <w:color w:val="000000" w:themeColor="text1"/>
        </w:rPr>
        <w:t>synthesizes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464562">
        <w:rPr>
          <w:rFonts w:ascii="Times New Roman" w:hAnsi="Times New Roman" w:cs="Times New Roman"/>
          <w:color w:val="000000" w:themeColor="text1"/>
        </w:rPr>
        <w:t>structural and non-translated RNAs</w:t>
      </w:r>
      <w:r w:rsidR="008B4248">
        <w:rPr>
          <w:rFonts w:ascii="Times New Roman" w:hAnsi="Times New Roman" w:cs="Times New Roman" w:hint="eastAsia"/>
          <w:color w:val="000000" w:themeColor="text1"/>
        </w:rPr>
        <w:t>, as an</w:t>
      </w:r>
      <w:r w:rsidR="00BF2EDA">
        <w:rPr>
          <w:rFonts w:ascii="Times New Roman" w:hAnsi="Times New Roman" w:cs="Times New Roman" w:hint="eastAsia"/>
          <w:color w:val="000000" w:themeColor="text1"/>
        </w:rPr>
        <w:t xml:space="preserve"> example to </w:t>
      </w:r>
      <w:r w:rsidR="00BF2EDA">
        <w:rPr>
          <w:rFonts w:ascii="Times New Roman" w:hAnsi="Times New Roman" w:cs="Times New Roman"/>
          <w:color w:val="000000" w:themeColor="text1"/>
        </w:rPr>
        <w:t>illustrate</w:t>
      </w:r>
      <w:r w:rsidR="00BF2EDA">
        <w:rPr>
          <w:rFonts w:ascii="Times New Roman" w:hAnsi="Times New Roman" w:cs="Times New Roman" w:hint="eastAsia"/>
          <w:color w:val="000000" w:themeColor="text1"/>
        </w:rPr>
        <w:t xml:space="preserve"> the problem and our approach</w:t>
      </w:r>
      <w:r w:rsidR="008B4248">
        <w:rPr>
          <w:rFonts w:ascii="Times New Roman" w:hAnsi="Times New Roman" w:cs="Times New Roman" w:hint="eastAsia"/>
          <w:color w:val="000000" w:themeColor="text1"/>
        </w:rPr>
        <w:t xml:space="preserve"> that utilized the famous Bertozzi reaction to achieve </w:t>
      </w:r>
      <w:r w:rsidR="008B4248">
        <w:rPr>
          <w:rFonts w:ascii="Times New Roman" w:hAnsi="Times New Roman" w:cs="Times New Roman"/>
          <w:color w:val="000000" w:themeColor="text1"/>
        </w:rPr>
        <w:t>biorthogonal</w:t>
      </w:r>
      <w:r w:rsidR="008B4248">
        <w:rPr>
          <w:rFonts w:ascii="Times New Roman" w:hAnsi="Times New Roman" w:cs="Times New Roman" w:hint="eastAsia"/>
          <w:color w:val="000000" w:themeColor="text1"/>
        </w:rPr>
        <w:t xml:space="preserve"> chemistry to enable selective labeling of a flexible part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. </w:t>
      </w:r>
      <w:r w:rsidR="008B4248">
        <w:rPr>
          <w:rFonts w:ascii="Times New Roman" w:hAnsi="Times New Roman" w:cs="Times New Roman" w:hint="eastAsia"/>
          <w:color w:val="000000" w:themeColor="text1"/>
        </w:rPr>
        <w:t>Specifically, we targeted</w:t>
      </w:r>
      <w:r w:rsidR="00BF2EDA">
        <w:rPr>
          <w:rFonts w:ascii="Times New Roman" w:hAnsi="Times New Roman" w:cs="Times New Roman" w:hint="eastAsia"/>
          <w:color w:val="000000" w:themeColor="text1"/>
        </w:rPr>
        <w:t xml:space="preserve"> t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he tandem </w:t>
      </w:r>
      <w:r w:rsidRPr="00464562">
        <w:rPr>
          <w:rFonts w:ascii="Times New Roman" w:hAnsi="Times New Roman" w:cs="Times New Roman"/>
          <w:color w:val="000000" w:themeColor="text1"/>
          <w:lang w:val="gd-GB"/>
        </w:rPr>
        <w:t>winged-helix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 domain (tWH) in the Rpc34 subunit of </w:t>
      </w:r>
      <w:r>
        <w:rPr>
          <w:rFonts w:ascii="Times New Roman" w:hAnsi="Times New Roman" w:cs="Times New Roman" w:hint="eastAsia"/>
          <w:color w:val="000000" w:themeColor="text1"/>
          <w:lang w:val="gd-GB"/>
        </w:rPr>
        <w:t>Pol III</w:t>
      </w:r>
      <w:r>
        <w:rPr>
          <w:rFonts w:ascii="Times New Roman" w:hAnsi="Times New Roman" w:cs="Times New Roman"/>
          <w:color w:val="000000" w:themeColor="text1"/>
          <w:lang w:val="gd-GB"/>
        </w:rPr>
        <w:t>’</w:t>
      </w:r>
      <w:r>
        <w:rPr>
          <w:rFonts w:ascii="Times New Roman" w:hAnsi="Times New Roman" w:cs="Times New Roman" w:hint="eastAsia"/>
          <w:color w:val="000000" w:themeColor="text1"/>
          <w:lang w:val="gd-GB"/>
        </w:rPr>
        <w:t>s</w:t>
      </w:r>
      <w:r w:rsidRPr="00464562">
        <w:rPr>
          <w:rFonts w:ascii="Times New Roman" w:hAnsi="Times New Roman" w:cs="Times New Roman"/>
          <w:color w:val="000000" w:themeColor="text1"/>
          <w:lang w:val="gd-GB"/>
        </w:rPr>
        <w:t xml:space="preserve"> 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TFIIE-related sub-complex </w:t>
      </w:r>
      <w:r w:rsidRPr="00464562">
        <w:rPr>
          <w:rFonts w:ascii="Times New Roman" w:hAnsi="Times New Roman" w:cs="Times New Roman"/>
          <w:color w:val="000000" w:themeColor="text1"/>
          <w:lang w:val="gd-GB"/>
        </w:rPr>
        <w:t>exerts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 multiple</w:t>
      </w:r>
      <w:r w:rsidRPr="00464562">
        <w:rPr>
          <w:rFonts w:ascii="Times New Roman" w:hAnsi="Times New Roman" w:cs="Times New Roman"/>
          <w:color w:val="000000" w:themeColor="text1"/>
        </w:rPr>
        <w:t xml:space="preserve"> role</w:t>
      </w:r>
      <w:r w:rsidRPr="00464562">
        <w:rPr>
          <w:rFonts w:ascii="Times New Roman" w:hAnsi="Times New Roman" w:cs="Times New Roman" w:hint="eastAsia"/>
          <w:color w:val="000000" w:themeColor="text1"/>
        </w:rPr>
        <w:t>s</w:t>
      </w:r>
      <w:r w:rsidRPr="00464562">
        <w:rPr>
          <w:rFonts w:ascii="Times New Roman" w:hAnsi="Times New Roman" w:cs="Times New Roman"/>
          <w:color w:val="000000" w:themeColor="text1"/>
        </w:rPr>
        <w:t xml:space="preserve"> </w:t>
      </w:r>
      <w:r w:rsidRPr="00464562">
        <w:rPr>
          <w:rFonts w:ascii="Times New Roman" w:hAnsi="Times New Roman" w:cs="Times New Roman" w:hint="eastAsia"/>
          <w:color w:val="000000" w:themeColor="text1"/>
        </w:rPr>
        <w:t>central to</w:t>
      </w:r>
      <w:r w:rsidRPr="00464562">
        <w:rPr>
          <w:rFonts w:ascii="Times New Roman" w:hAnsi="Times New Roman" w:cs="Times New Roman"/>
          <w:color w:val="000000" w:themeColor="text1"/>
        </w:rPr>
        <w:t xml:space="preserve"> 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Pol III </w:t>
      </w:r>
      <w:r w:rsidRPr="00464562">
        <w:rPr>
          <w:rFonts w:ascii="Times New Roman" w:hAnsi="Times New Roman" w:cs="Times New Roman"/>
          <w:color w:val="000000" w:themeColor="text1"/>
        </w:rPr>
        <w:t>transcription</w:t>
      </w:r>
      <w:r w:rsidR="00BF2EDA">
        <w:rPr>
          <w:rFonts w:ascii="Times New Roman" w:hAnsi="Times New Roman" w:cs="Times New Roman" w:hint="eastAsia"/>
          <w:color w:val="000000" w:themeColor="text1"/>
        </w:rPr>
        <w:t>.</w:t>
      </w:r>
      <w:r w:rsidR="00BF2EDA">
        <w:rPr>
          <w:rFonts w:ascii="Times New Roman" w:hAnsi="Times New Roman" w:cs="Times New Roman"/>
          <w:color w:val="000000" w:themeColor="text1"/>
        </w:rPr>
        <w:t xml:space="preserve"> </w:t>
      </w:r>
      <w:r w:rsidR="00BF2EDA">
        <w:rPr>
          <w:rFonts w:ascii="Times New Roman" w:hAnsi="Times New Roman" w:cs="Times New Roman" w:hint="eastAsia"/>
          <w:color w:val="000000" w:themeColor="text1"/>
        </w:rPr>
        <w:t>W</w:t>
      </w:r>
      <w:r w:rsidRPr="00464562">
        <w:rPr>
          <w:rFonts w:ascii="Times New Roman" w:hAnsi="Times New Roman" w:cs="Times New Roman"/>
          <w:color w:val="000000" w:themeColor="text1"/>
        </w:rPr>
        <w:t xml:space="preserve">e deployed </w:t>
      </w:r>
      <w:r w:rsidRPr="00464562">
        <w:rPr>
          <w:rFonts w:ascii="Times New Roman" w:hAnsi="Times New Roman" w:cs="Times New Roman" w:hint="eastAsia"/>
          <w:color w:val="000000" w:themeColor="text1"/>
        </w:rPr>
        <w:t>fluorescence</w:t>
      </w:r>
      <w:r w:rsidRPr="00464562">
        <w:rPr>
          <w:rFonts w:ascii="Times New Roman" w:hAnsi="Times New Roman" w:cs="Times New Roman"/>
          <w:color w:val="000000" w:themeColor="text1"/>
        </w:rPr>
        <w:t xml:space="preserve"> resonance energy transfer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 (FRET) t</w:t>
      </w:r>
      <w:r w:rsidRPr="00464562">
        <w:rPr>
          <w:rFonts w:ascii="Times New Roman" w:hAnsi="Times New Roman" w:cs="Times New Roman"/>
          <w:color w:val="000000" w:themeColor="text1"/>
        </w:rPr>
        <w:t xml:space="preserve">o </w:t>
      </w:r>
      <w:r w:rsidRPr="00464562">
        <w:rPr>
          <w:rFonts w:ascii="Times New Roman" w:hAnsi="Times New Roman" w:cs="Times New Roman" w:hint="eastAsia"/>
          <w:color w:val="000000" w:themeColor="text1"/>
        </w:rPr>
        <w:t>probe</w:t>
      </w:r>
      <w:r w:rsidRPr="00464562">
        <w:rPr>
          <w:rFonts w:ascii="Times New Roman" w:hAnsi="Times New Roman" w:cs="Times New Roman"/>
          <w:color w:val="000000" w:themeColor="text1"/>
        </w:rPr>
        <w:t xml:space="preserve"> </w:t>
      </w:r>
      <w:r w:rsidRPr="00464562">
        <w:rPr>
          <w:rFonts w:ascii="Times New Roman" w:hAnsi="Times New Roman" w:cs="Times New Roman" w:hint="eastAsia"/>
          <w:color w:val="000000" w:themeColor="text1"/>
        </w:rPr>
        <w:t>Rpc34 tWH in a transcribing Pol III</w:t>
      </w:r>
      <w:r w:rsidRPr="00464562">
        <w:rPr>
          <w:rFonts w:ascii="Times New Roman" w:hAnsi="Times New Roman" w:cs="Times New Roman"/>
          <w:color w:val="000000" w:themeColor="text1"/>
        </w:rPr>
        <w:t xml:space="preserve">. 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By site-specifically </w:t>
      </w:r>
      <w:r w:rsidRPr="00464562">
        <w:rPr>
          <w:rFonts w:ascii="Times New Roman" w:hAnsi="Times New Roman" w:cs="Times New Roman"/>
          <w:color w:val="000000" w:themeColor="text1"/>
        </w:rPr>
        <w:t>incorporat</w:t>
      </w:r>
      <w:r w:rsidRPr="00464562">
        <w:rPr>
          <w:rFonts w:ascii="Times New Roman" w:hAnsi="Times New Roman" w:cs="Times New Roman" w:hint="eastAsia"/>
          <w:color w:val="000000" w:themeColor="text1"/>
        </w:rPr>
        <w:t>ing</w:t>
      </w:r>
      <w:r w:rsidRPr="00464562">
        <w:rPr>
          <w:rFonts w:ascii="Times New Roman" w:hAnsi="Times New Roman" w:cs="Times New Roman"/>
          <w:color w:val="000000" w:themeColor="text1"/>
        </w:rPr>
        <w:t xml:space="preserve"> 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an </w:t>
      </w:r>
      <w:r w:rsidRPr="00464562">
        <w:rPr>
          <w:rFonts w:ascii="Times New Roman" w:hAnsi="Times New Roman" w:cs="Times New Roman"/>
          <w:color w:val="000000" w:themeColor="text1"/>
        </w:rPr>
        <w:t>unnatural amino</w:t>
      </w:r>
      <w:r w:rsidRPr="00464562">
        <w:rPr>
          <w:rFonts w:ascii="Times New Roman" w:hAnsi="Times New Roman" w:cs="Times New Roman" w:hint="eastAsia"/>
          <w:color w:val="000000" w:themeColor="text1"/>
          <w:lang w:val="gd-GB"/>
        </w:rPr>
        <w:t>-</w:t>
      </w:r>
      <w:r w:rsidRPr="00464562">
        <w:rPr>
          <w:rFonts w:ascii="Times New Roman" w:hAnsi="Times New Roman" w:cs="Times New Roman"/>
          <w:color w:val="000000" w:themeColor="text1"/>
        </w:rPr>
        <w:t>acid (UAA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) and developing a protocol for its selective labeling using strain-promoted </w:t>
      </w:r>
      <w:r w:rsidRPr="00464562">
        <w:rPr>
          <w:rFonts w:ascii="Times New Roman" w:hAnsi="Times New Roman" w:cs="Times New Roman"/>
          <w:color w:val="000000" w:themeColor="text1"/>
          <w:szCs w:val="24"/>
        </w:rPr>
        <w:t>azide-alkyne</w:t>
      </w:r>
      <w:r w:rsidRPr="00464562">
        <w:rPr>
          <w:rFonts w:ascii="Times New Roman" w:hAnsi="Times New Roman" w:cs="Times New Roman" w:hint="eastAsia"/>
          <w:color w:val="000000" w:themeColor="text1"/>
          <w:szCs w:val="24"/>
        </w:rPr>
        <w:t xml:space="preserve"> </w:t>
      </w:r>
      <w:r w:rsidRPr="00464562">
        <w:rPr>
          <w:rFonts w:ascii="Times New Roman" w:hAnsi="Times New Roman" w:cs="Times New Roman"/>
          <w:color w:val="000000" w:themeColor="text1"/>
          <w:szCs w:val="24"/>
        </w:rPr>
        <w:t>cycloaddition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, we measured single-molecule FRET (smFRET) </w:t>
      </w:r>
      <w:r w:rsidRPr="00464562">
        <w:rPr>
          <w:rFonts w:ascii="Times New Roman" w:hAnsi="Times New Roman" w:cs="Times New Roman"/>
          <w:color w:val="000000" w:themeColor="text1"/>
        </w:rPr>
        <w:t>between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 an</w:t>
      </w:r>
      <w:r w:rsidRPr="00464562">
        <w:rPr>
          <w:rFonts w:ascii="Times New Roman" w:hAnsi="Times New Roman" w:cs="Times New Roman"/>
          <w:color w:val="000000" w:themeColor="text1"/>
        </w:rPr>
        <w:t xml:space="preserve"> </w:t>
      </w:r>
      <w:r w:rsidRPr="00464562">
        <w:rPr>
          <w:rFonts w:ascii="Times New Roman" w:hAnsi="Times New Roman" w:cs="Times New Roman" w:hint="eastAsia"/>
          <w:color w:val="000000" w:themeColor="text1"/>
        </w:rPr>
        <w:t>acceptor</w:t>
      </w:r>
      <w:r w:rsidRPr="00464562">
        <w:rPr>
          <w:rFonts w:ascii="Times New Roman" w:hAnsi="Times New Roman" w:cs="Times New Roman"/>
          <w:color w:val="000000" w:themeColor="text1"/>
        </w:rPr>
        <w:t xml:space="preserve"> in</w:t>
      </w:r>
      <w:r>
        <w:rPr>
          <w:rFonts w:ascii="Times New Roman" w:hAnsi="Times New Roman" w:cs="Times New Roman" w:hint="eastAsia"/>
          <w:color w:val="000000" w:themeColor="text1"/>
        </w:rPr>
        <w:t xml:space="preserve"> the </w:t>
      </w:r>
      <w:r w:rsidRPr="00464562">
        <w:rPr>
          <w:rFonts w:ascii="Times New Roman" w:hAnsi="Times New Roman" w:cs="Times New Roman" w:hint="eastAsia"/>
          <w:color w:val="000000" w:themeColor="text1"/>
        </w:rPr>
        <w:t>tWH</w:t>
      </w:r>
      <w:r w:rsidRPr="00464562">
        <w:rPr>
          <w:rFonts w:ascii="Times New Roman" w:hAnsi="Times New Roman" w:cs="Times New Roman"/>
          <w:color w:val="000000" w:themeColor="text1"/>
        </w:rPr>
        <w:t xml:space="preserve"> and </w:t>
      </w:r>
      <w:r w:rsidRPr="00464562">
        <w:rPr>
          <w:rFonts w:ascii="Times New Roman" w:hAnsi="Times New Roman" w:cs="Times New Roman" w:hint="eastAsia"/>
          <w:color w:val="000000" w:themeColor="text1"/>
        </w:rPr>
        <w:t>a donor</w:t>
      </w:r>
      <w:r w:rsidRPr="00464562">
        <w:rPr>
          <w:rFonts w:ascii="Times New Roman" w:hAnsi="Times New Roman" w:cs="Times New Roman"/>
          <w:color w:val="000000" w:themeColor="text1"/>
        </w:rPr>
        <w:t xml:space="preserve"> in DNA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. Our </w:t>
      </w:r>
      <w:r>
        <w:rPr>
          <w:rFonts w:ascii="Times New Roman" w:hAnsi="Times New Roman" w:cs="Times New Roman" w:hint="eastAsia"/>
          <w:color w:val="000000" w:themeColor="text1"/>
        </w:rPr>
        <w:t>smFRET results of various FRET states along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 wi</w:t>
      </w:r>
      <w:r>
        <w:rPr>
          <w:rFonts w:ascii="Times New Roman" w:hAnsi="Times New Roman" w:cs="Times New Roman" w:hint="eastAsia"/>
          <w:color w:val="000000" w:themeColor="text1"/>
        </w:rPr>
        <w:t>th inte</w:t>
      </w:r>
      <w:r w:rsidR="00BF2EDA">
        <w:rPr>
          <w:rFonts w:ascii="Times New Roman" w:hAnsi="Times New Roman" w:cs="Times New Roman" w:hint="eastAsia"/>
          <w:color w:val="000000" w:themeColor="text1"/>
        </w:rPr>
        <w:t>r-converting transitions demonstrate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 </w:t>
      </w:r>
      <w:r w:rsidRPr="00464562">
        <w:rPr>
          <w:rFonts w:ascii="Times New Roman" w:hAnsi="Times New Roman" w:cs="Times New Roman"/>
          <w:color w:val="000000" w:themeColor="text1"/>
          <w:lang w:val="gd-GB"/>
        </w:rPr>
        <w:t xml:space="preserve">that </w:t>
      </w:r>
      <w:r w:rsidRPr="00464562">
        <w:rPr>
          <w:rFonts w:ascii="Times New Roman" w:hAnsi="Times New Roman" w:cs="Times New Roman" w:hint="eastAsia"/>
          <w:color w:val="000000" w:themeColor="text1"/>
        </w:rPr>
        <w:t>Rpc34 tWH is a dynamic structural module,</w:t>
      </w:r>
      <w:r>
        <w:rPr>
          <w:rFonts w:ascii="Times New Roman" w:hAnsi="Times New Roman" w:cs="Times New Roman" w:hint="eastAsia"/>
          <w:color w:val="000000" w:themeColor="text1"/>
        </w:rPr>
        <w:t xml:space="preserve"> with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>multiple docking sites identified</w:t>
      </w:r>
      <w:r w:rsidR="00BF2EDA">
        <w:rPr>
          <w:rFonts w:ascii="Times New Roman" w:hAnsi="Times New Roman" w:cs="Times New Roman" w:hint="eastAsia"/>
          <w:color w:val="000000" w:themeColor="text1"/>
        </w:rPr>
        <w:t xml:space="preserve"> by smFRET-based nano-positioning</w:t>
      </w:r>
      <w:r w:rsidRPr="00464562">
        <w:rPr>
          <w:rFonts w:ascii="Times New Roman" w:hAnsi="Times New Roman" w:cs="Times New Roman" w:hint="eastAsia"/>
          <w:color w:val="000000" w:themeColor="text1"/>
        </w:rPr>
        <w:t>.</w:t>
      </w:r>
      <w:r w:rsidRPr="00464562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</w:rPr>
        <w:t>Our findings</w:t>
      </w:r>
      <w:r w:rsidR="00BF2EDA">
        <w:rPr>
          <w:rFonts w:ascii="Times New Roman" w:hAnsi="Times New Roman" w:cs="Times New Roman" w:hint="eastAsia"/>
          <w:color w:val="000000" w:themeColor="text1"/>
        </w:rPr>
        <w:t xml:space="preserve"> of tWH </w:t>
      </w:r>
      <w:r w:rsidR="00BF2EDA">
        <w:rPr>
          <w:rFonts w:ascii="Times New Roman" w:hAnsi="Times New Roman" w:cs="Times New Roman"/>
          <w:color w:val="000000" w:themeColor="text1"/>
        </w:rPr>
        <w:t>dynamical</w:t>
      </w:r>
      <w:r w:rsidR="00BF2EDA">
        <w:rPr>
          <w:rFonts w:ascii="Times New Roman" w:hAnsi="Times New Roman" w:cs="Times New Roman" w:hint="eastAsia"/>
          <w:color w:val="000000" w:themeColor="text1"/>
        </w:rPr>
        <w:t xml:space="preserve"> positioning in a transcribing Pol III </w:t>
      </w:r>
      <w:r w:rsidR="008B4248">
        <w:rPr>
          <w:rFonts w:ascii="Times New Roman" w:hAnsi="Times New Roman" w:cs="Times New Roman" w:hint="eastAsia"/>
          <w:color w:val="000000" w:themeColor="text1"/>
        </w:rPr>
        <w:t>may provide a structural basis</w:t>
      </w:r>
      <w:r>
        <w:rPr>
          <w:rFonts w:ascii="Times New Roman" w:hAnsi="Times New Roman" w:cs="Times New Roman" w:hint="eastAsia"/>
          <w:color w:val="000000" w:themeColor="text1"/>
        </w:rPr>
        <w:t xml:space="preserve"> underpinning</w:t>
      </w:r>
      <w:r w:rsidRPr="00464562">
        <w:rPr>
          <w:rFonts w:ascii="Times New Roman" w:hAnsi="Times New Roman" w:cs="Times New Roman" w:hint="eastAsia"/>
          <w:color w:val="000000" w:themeColor="text1"/>
        </w:rPr>
        <w:t xml:space="preserve"> its </w:t>
      </w:r>
      <w:r w:rsidR="008B4248">
        <w:rPr>
          <w:rFonts w:ascii="Times New Roman" w:hAnsi="Times New Roman" w:cs="Times New Roman"/>
          <w:color w:val="000000" w:themeColor="text1"/>
        </w:rPr>
        <w:t>multiple</w:t>
      </w:r>
      <w:r w:rsidR="008B4248">
        <w:rPr>
          <w:rFonts w:ascii="Times New Roman" w:hAnsi="Times New Roman" w:cs="Times New Roman" w:hint="eastAsia"/>
          <w:color w:val="000000" w:themeColor="text1"/>
        </w:rPr>
        <w:t>-</w:t>
      </w:r>
      <w:r>
        <w:rPr>
          <w:rFonts w:ascii="Times New Roman" w:hAnsi="Times New Roman" w:cs="Times New Roman" w:hint="eastAsia"/>
          <w:color w:val="000000" w:themeColor="text1"/>
        </w:rPr>
        <w:t>functions</w:t>
      </w:r>
      <w:r w:rsidR="008B4248">
        <w:rPr>
          <w:rFonts w:ascii="Times New Roman" w:hAnsi="Times New Roman" w:cs="Times New Roman" w:hint="eastAsia"/>
          <w:color w:val="000000" w:themeColor="text1"/>
        </w:rPr>
        <w:t xml:space="preserve"> during a transcription</w:t>
      </w:r>
      <w:r>
        <w:rPr>
          <w:rFonts w:ascii="Times New Roman" w:hAnsi="Times New Roman" w:cs="Times New Roman" w:hint="eastAsia"/>
          <w:color w:val="000000" w:themeColor="text1"/>
        </w:rPr>
        <w:t>.</w:t>
      </w:r>
      <w:r w:rsidR="00820831">
        <w:rPr>
          <w:rFonts w:ascii="Times New Roman" w:hAnsi="Times New Roman" w:cs="Times New Roman" w:hint="eastAsia"/>
          <w:color w:val="000000" w:themeColor="text1"/>
        </w:rPr>
        <w:t xml:space="preserve"> If time permits, I </w:t>
      </w:r>
      <w:r w:rsidR="008B4248">
        <w:rPr>
          <w:rFonts w:ascii="Times New Roman" w:hAnsi="Times New Roman" w:cs="Times New Roman" w:hint="eastAsia"/>
          <w:color w:val="000000" w:themeColor="text1"/>
        </w:rPr>
        <w:t xml:space="preserve">will cover </w:t>
      </w:r>
      <w:r w:rsidR="008B4248">
        <w:rPr>
          <w:rFonts w:ascii="Times New Roman" w:hAnsi="Times New Roman" w:cs="Times New Roman"/>
          <w:color w:val="000000" w:themeColor="text1"/>
        </w:rPr>
        <w:t>our recent structural findings on a metal</w:t>
      </w:r>
      <w:r w:rsidR="008B4248">
        <w:rPr>
          <w:rFonts w:ascii="Times New Roman" w:hAnsi="Times New Roman" w:cs="Times New Roman" w:hint="eastAsia"/>
          <w:color w:val="000000" w:themeColor="text1"/>
        </w:rPr>
        <w:t>l</w:t>
      </w:r>
      <w:r w:rsidR="008B4248">
        <w:rPr>
          <w:rFonts w:ascii="Times New Roman" w:hAnsi="Times New Roman" w:cs="Times New Roman"/>
          <w:color w:val="000000" w:themeColor="text1"/>
        </w:rPr>
        <w:t>oenzyme</w:t>
      </w:r>
      <w:r w:rsidR="008B4248">
        <w:rPr>
          <w:rFonts w:ascii="Times New Roman" w:hAnsi="Times New Roman" w:cs="Times New Roman" w:hint="eastAsia"/>
          <w:color w:val="000000" w:themeColor="text1"/>
        </w:rPr>
        <w:t xml:space="preserve"> that coverts methane to </w:t>
      </w:r>
      <w:r w:rsidR="00820831">
        <w:rPr>
          <w:rFonts w:ascii="Times New Roman" w:hAnsi="Times New Roman" w:cs="Times New Roman" w:hint="eastAsia"/>
          <w:color w:val="000000" w:themeColor="text1"/>
        </w:rPr>
        <w:t>methanol where identifying</w:t>
      </w:r>
      <w:r w:rsidR="008B4248">
        <w:rPr>
          <w:rFonts w:ascii="Times New Roman" w:hAnsi="Times New Roman" w:cs="Times New Roman" w:hint="eastAsia"/>
          <w:color w:val="000000" w:themeColor="text1"/>
        </w:rPr>
        <w:t xml:space="preserve"> the copper centers turn</w:t>
      </w:r>
      <w:r w:rsidR="00820831">
        <w:rPr>
          <w:rFonts w:ascii="Times New Roman" w:hAnsi="Times New Roman" w:cs="Times New Roman" w:hint="eastAsia"/>
          <w:color w:val="000000" w:themeColor="text1"/>
        </w:rPr>
        <w:t>ed</w:t>
      </w:r>
      <w:bookmarkStart w:id="0" w:name="_GoBack"/>
      <w:bookmarkEnd w:id="0"/>
      <w:r w:rsidR="008B4248">
        <w:rPr>
          <w:rFonts w:ascii="Times New Roman" w:hAnsi="Times New Roman" w:cs="Times New Roman" w:hint="eastAsia"/>
          <w:color w:val="000000" w:themeColor="text1"/>
        </w:rPr>
        <w:t xml:space="preserve"> out to be very challenging.</w:t>
      </w:r>
    </w:p>
    <w:p w:rsidR="00AA2BAB" w:rsidRPr="00B52923" w:rsidRDefault="00AA2BAB"/>
    <w:sectPr w:rsidR="00AA2BAB" w:rsidRPr="00B5292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923"/>
    <w:rsid w:val="00820831"/>
    <w:rsid w:val="008B4248"/>
    <w:rsid w:val="009406BF"/>
    <w:rsid w:val="00AA2BAB"/>
    <w:rsid w:val="00B52923"/>
    <w:rsid w:val="00BF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529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2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B529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1589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2022-11-21T10:49:00Z</dcterms:created>
  <dcterms:modified xsi:type="dcterms:W3CDTF">2022-11-21T10:51:00Z</dcterms:modified>
</cp:coreProperties>
</file>